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ascii="方正小标宋_GBK" w:hAnsi="方正小标宋_GBK" w:eastAsia="方正小标宋_GBK" w:cs="方正小标宋_GBK"/>
          <w:sz w:val="36"/>
          <w:szCs w:val="36"/>
          <w:shd w:val="clear" w:color="auto" w:fill="FFFFFF"/>
        </w:rPr>
      </w:pPr>
      <w:r>
        <w:rPr>
          <w:rFonts w:ascii="方正小标宋_GBK" w:hAnsi="方正小标宋_GBK" w:eastAsia="方正小标宋_GBK" w:cs="方正小标宋_GBK"/>
          <w:sz w:val="36"/>
          <w:szCs w:val="36"/>
        </w:rPr>
        <w:t>秀山土家族苗族自治县平凯街道社区卫生服务中心</w:t>
      </w:r>
      <w:r>
        <w:rPr>
          <w:rFonts w:hint="default" w:ascii="Times New Roman" w:hAnsi="Times New Roman" w:eastAsia="方正小标宋_GBK" w:cs="Times New Roman"/>
          <w:sz w:val="36"/>
          <w:szCs w:val="36"/>
          <w:shd w:val="clear" w:color="auto" w:fill="FFFFFF"/>
        </w:rPr>
        <w:t>2024</w:t>
      </w:r>
      <w:r>
        <w:rPr>
          <w:rFonts w:ascii="方正小标宋_GBK" w:hAnsi="方正小标宋_GBK" w:eastAsia="方正小标宋_GBK" w:cs="方正小标宋_GBK"/>
          <w:sz w:val="36"/>
          <w:szCs w:val="36"/>
          <w:shd w:val="clear" w:color="auto" w:fill="FFFFFF"/>
        </w:rPr>
        <w:t>年度决算公开说明</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default" w:ascii="方正小标宋_GBK" w:hAnsi="方正小标宋_GBK" w:eastAsia="方正小标宋_GBK" w:cs="方正小标宋_GBK"/>
          <w:sz w:val="36"/>
          <w:szCs w:val="36"/>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（一）职能职责</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rPr>
        <w:t>本单位属国有非营利性基层医疗机构，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社区卫生服务中心，应当履行以下公共卫生职责：</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rPr>
        <w:t>1.根据国家和本市规定收集、报送辖区内卫生健康信息，建立和管理居民健康档案，提出改进辖区公共卫生状况的建议。</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rPr>
        <w:t>2.开展健康教育，普及健康知识。</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lang w:val="en-US" w:eastAsia="zh-CN"/>
        </w:rPr>
        <w:t>3.</w:t>
      </w:r>
      <w:r>
        <w:rPr>
          <w:rFonts w:hint="default" w:ascii="Times New Roman" w:hAnsi="Times New Roman" w:eastAsia="方正仿宋_GBK" w:cs="Times New Roman"/>
          <w:color w:val="333333"/>
          <w:kern w:val="0"/>
          <w:sz w:val="32"/>
          <w:szCs w:val="32"/>
          <w:shd w:val="clear" w:color="auto" w:fill="FFFFFF"/>
        </w:rPr>
        <w:t>协助开展传染病以及地方病、寄生虫病的预防控制，配合开展爱国卫生工作。</w:t>
      </w:r>
    </w:p>
    <w:p>
      <w:pPr>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4.做好高危人群、重点慢性病患者的筛查和病例管理。</w:t>
      </w:r>
    </w:p>
    <w:p>
      <w:pPr>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5.提供心理健康指导服务，实施精神病社区管理。</w:t>
      </w:r>
    </w:p>
    <w:p>
      <w:pPr>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6.为妇女、儿童、老年人、残疾人等重点人群提供保健和康复服务。</w:t>
      </w:r>
    </w:p>
    <w:p>
      <w:pPr>
        <w:keepNext w:val="0"/>
        <w:keepLines w:val="0"/>
        <w:pageBreakBefore w:val="0"/>
        <w:widowControl/>
        <w:shd w:val="clear" w:color="auto" w:fill="FFFFFF"/>
        <w:kinsoku/>
        <w:wordWrap/>
        <w:overflowPunct/>
        <w:topLinePunct w:val="0"/>
        <w:autoSpaceDE/>
        <w:autoSpaceDN/>
        <w:bidi w:val="0"/>
        <w:adjustRightInd/>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rPr>
      </w:pPr>
      <w:r>
        <w:rPr>
          <w:rFonts w:hint="default" w:ascii="Times New Roman" w:hAnsi="Times New Roman" w:eastAsia="方正仿宋_GBK" w:cs="Times New Roman"/>
          <w:color w:val="333333"/>
          <w:kern w:val="0"/>
          <w:sz w:val="32"/>
          <w:szCs w:val="32"/>
          <w:shd w:val="clear" w:color="auto" w:fill="FFFFFF"/>
        </w:rPr>
        <w:t>7.提供计划生育技术服务，协助处置辖区内突发公共卫生事件等。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 8.按要求提供其他公共卫生服务。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（二）机构设置</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lang w:val="en-US" w:eastAsia="zh-CN"/>
        </w:rPr>
        <w:t>本单位下设党政办公室、财务科、</w:t>
      </w:r>
      <w:r>
        <w:rPr>
          <w:rFonts w:hint="eastAsia" w:ascii="Times New Roman" w:hAnsi="Times New Roman" w:eastAsia="方正仿宋_GBK" w:cs="Times New Roman"/>
          <w:color w:val="333333"/>
          <w:kern w:val="0"/>
          <w:sz w:val="32"/>
          <w:szCs w:val="32"/>
          <w:shd w:val="clear" w:color="auto" w:fill="FFFFFF"/>
          <w:lang w:val="en-US" w:eastAsia="zh-CN"/>
        </w:rPr>
        <w:t>人事科、</w:t>
      </w:r>
      <w:r>
        <w:rPr>
          <w:rFonts w:hint="default" w:ascii="Times New Roman" w:hAnsi="Times New Roman" w:eastAsia="方正仿宋_GBK" w:cs="Times New Roman"/>
          <w:color w:val="333333"/>
          <w:kern w:val="0"/>
          <w:sz w:val="32"/>
          <w:szCs w:val="32"/>
          <w:shd w:val="clear" w:color="auto" w:fill="FFFFFF"/>
          <w:lang w:val="en-US" w:eastAsia="zh-CN"/>
        </w:rPr>
        <w:t>总务设备科、医保信息科、医务科（病案室）、护理部（院感）、门诊部、口腔科、中医科（康复理疗）、综合住院部、儿科、医技科、库房、药房、收费室、居民健康科、预防保健科、公卫综合科。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决算</w:t>
      </w:r>
      <w:r>
        <w:rPr>
          <w:rStyle w:val="10"/>
          <w:rFonts w:hint="eastAsia" w:ascii="方正黑体_GBK" w:hAnsi="方正黑体_GBK" w:eastAsia="方正黑体_GBK" w:cs="方正黑体_GBK"/>
          <w:b w:val="0"/>
          <w:bCs/>
          <w:sz w:val="32"/>
          <w:szCs w:val="32"/>
          <w:shd w:val="clear" w:color="auto" w:fill="FFFFFF"/>
          <w:lang w:eastAsia="zh-CN"/>
        </w:rPr>
        <w:t>收支</w:t>
      </w:r>
      <w:r>
        <w:rPr>
          <w:rStyle w:val="10"/>
          <w:rFonts w:hint="eastAsia" w:ascii="方正黑体_GBK" w:hAnsi="方正黑体_GBK" w:eastAsia="方正黑体_GBK" w:cs="方正黑体_GBK"/>
          <w:b w:val="0"/>
          <w:bCs/>
          <w:sz w:val="32"/>
          <w:szCs w:val="32"/>
          <w:shd w:val="clear" w:color="auto" w:fill="FFFFFF"/>
        </w:rPr>
        <w:t>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（一）收入支出决算总体情况说明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rPr>
        <w:t>2024年度收</w:t>
      </w:r>
      <w:r>
        <w:rPr>
          <w:rFonts w:hint="eastAsia" w:ascii="Times New Roman" w:hAnsi="Times New Roman" w:eastAsia="方正仿宋_GBK" w:cs="Times New Roman"/>
          <w:color w:val="333333"/>
          <w:kern w:val="0"/>
          <w:sz w:val="32"/>
          <w:szCs w:val="32"/>
          <w:shd w:val="clear" w:color="auto" w:fill="FFFFFF"/>
          <w:lang w:eastAsia="zh-CN"/>
        </w:rPr>
        <w:t>、支</w:t>
      </w:r>
      <w:r>
        <w:rPr>
          <w:rFonts w:hint="default" w:ascii="Times New Roman" w:hAnsi="Times New Roman" w:eastAsia="方正仿宋_GBK" w:cs="Times New Roman"/>
          <w:color w:val="333333"/>
          <w:kern w:val="0"/>
          <w:sz w:val="32"/>
          <w:szCs w:val="32"/>
          <w:shd w:val="clear" w:color="auto" w:fill="FFFFFF"/>
        </w:rPr>
        <w:t>总计</w:t>
      </w:r>
      <w:r>
        <w:rPr>
          <w:rFonts w:hint="eastAsia" w:ascii="Times New Roman" w:hAnsi="Times New Roman" w:eastAsia="方正仿宋_GBK" w:cs="Times New Roman"/>
          <w:color w:val="333333"/>
          <w:kern w:val="0"/>
          <w:sz w:val="32"/>
          <w:szCs w:val="32"/>
          <w:shd w:val="clear" w:color="auto" w:fill="FFFFFF"/>
          <w:lang w:eastAsia="zh-CN"/>
        </w:rPr>
        <w:t>均为</w:t>
      </w:r>
      <w:r>
        <w:rPr>
          <w:rFonts w:hint="default" w:ascii="Times New Roman" w:hAnsi="Times New Roman" w:eastAsia="方正仿宋_GBK" w:cs="Times New Roman"/>
          <w:color w:val="333333"/>
          <w:kern w:val="0"/>
          <w:sz w:val="32"/>
          <w:szCs w:val="32"/>
          <w:shd w:val="clear" w:color="auto" w:fill="FFFFFF"/>
        </w:rPr>
        <w:t>1589.31万元。收、支与2023年度相比，减少585.95万元，下降26.9%，主要原因是</w:t>
      </w:r>
      <w:r>
        <w:rPr>
          <w:rFonts w:hint="eastAsia" w:ascii="Times New Roman" w:hAnsi="Times New Roman" w:eastAsia="方正仿宋_GBK" w:cs="Times New Roman"/>
          <w:color w:val="333333"/>
          <w:kern w:val="0"/>
          <w:sz w:val="32"/>
          <w:szCs w:val="32"/>
          <w:shd w:val="clear" w:color="auto" w:fill="FFFFFF"/>
          <w:lang w:val="en-US" w:eastAsia="zh-CN"/>
        </w:rPr>
        <w:t>财政拨款收入下降418.64万元。</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eastAsia" w:ascii="Times New Roman" w:hAnsi="Times New Roman" w:eastAsia="方正仿宋_GBK" w:cs="Times New Roman"/>
          <w:color w:val="333333"/>
          <w:kern w:val="0"/>
          <w:sz w:val="32"/>
          <w:szCs w:val="32"/>
          <w:shd w:val="clear" w:color="auto" w:fill="FFFFFF"/>
          <w:lang w:val="en-US" w:eastAsia="zh-CN"/>
        </w:rPr>
        <w:t>1</w:t>
      </w:r>
      <w:r>
        <w:rPr>
          <w:rFonts w:hint="default" w:ascii="Times New Roman" w:hAnsi="Times New Roman" w:eastAsia="方正仿宋_GBK" w:cs="Times New Roman"/>
          <w:color w:val="333333"/>
          <w:kern w:val="0"/>
          <w:sz w:val="32"/>
          <w:szCs w:val="32"/>
          <w:shd w:val="clear" w:color="auto" w:fill="FFFFFF"/>
        </w:rPr>
        <w:t>.收入情况。2024年度收入合计1538.94万元，与2023年度相比，减少636.32万元，下降29.3%，主要原因是</w:t>
      </w:r>
      <w:r>
        <w:rPr>
          <w:rFonts w:hint="eastAsia" w:ascii="Times New Roman" w:hAnsi="Times New Roman" w:eastAsia="方正仿宋_GBK" w:cs="Times New Roman"/>
          <w:color w:val="333333"/>
          <w:kern w:val="0"/>
          <w:sz w:val="32"/>
          <w:szCs w:val="32"/>
          <w:shd w:val="clear" w:color="auto" w:fill="FFFFFF"/>
          <w:lang w:val="en-US" w:eastAsia="zh-CN"/>
        </w:rPr>
        <w:t>财政拨款收入下降418.64万元。</w:t>
      </w:r>
      <w:r>
        <w:rPr>
          <w:rFonts w:hint="default" w:ascii="Times New Roman" w:hAnsi="Times New Roman" w:eastAsia="方正仿宋_GBK" w:cs="Times New Roman"/>
          <w:color w:val="333333"/>
          <w:kern w:val="0"/>
          <w:sz w:val="32"/>
          <w:szCs w:val="32"/>
          <w:shd w:val="clear" w:color="auto" w:fill="FFFFFF"/>
        </w:rPr>
        <w:t>其中：财政拨款收入560.14万元，占36.4%；事业收入966.64万元，占62.8%；经营收入0.00万元，占0.0%；其他收入12.16万元，占0.8%。此外，</w:t>
      </w:r>
      <w:r>
        <w:rPr>
          <w:rFonts w:hint="eastAsia" w:ascii="Times New Roman" w:hAnsi="Times New Roman" w:eastAsia="方正仿宋_GBK" w:cs="Times New Roman"/>
          <w:color w:val="333333"/>
          <w:kern w:val="0"/>
          <w:sz w:val="32"/>
          <w:szCs w:val="32"/>
          <w:shd w:val="clear" w:color="auto" w:fill="FFFFFF"/>
        </w:rPr>
        <w:t>使用非财政拨款结余（含专用结余）</w:t>
      </w:r>
      <w:r>
        <w:rPr>
          <w:rFonts w:hint="default" w:ascii="Times New Roman" w:hAnsi="Times New Roman" w:eastAsia="方正仿宋_GBK" w:cs="Times New Roman"/>
          <w:color w:val="333333"/>
          <w:kern w:val="0"/>
          <w:sz w:val="32"/>
          <w:szCs w:val="32"/>
          <w:shd w:val="clear" w:color="auto" w:fill="FFFFFF"/>
        </w:rPr>
        <w:t>0.00万元，年初结转和结余50.36万元。</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eastAsia" w:ascii="Times New Roman" w:hAnsi="Times New Roman" w:eastAsia="方正仿宋_GBK" w:cs="Times New Roman"/>
          <w:color w:val="333333"/>
          <w:kern w:val="0"/>
          <w:sz w:val="32"/>
          <w:szCs w:val="32"/>
          <w:shd w:val="clear" w:color="auto" w:fill="FFFFFF"/>
          <w:lang w:val="en-US" w:eastAsia="zh-CN"/>
        </w:rPr>
        <w:t>2</w:t>
      </w:r>
      <w:r>
        <w:rPr>
          <w:rFonts w:hint="default" w:ascii="Times New Roman" w:hAnsi="Times New Roman" w:eastAsia="方正仿宋_GBK" w:cs="Times New Roman"/>
          <w:color w:val="333333"/>
          <w:kern w:val="0"/>
          <w:sz w:val="32"/>
          <w:szCs w:val="32"/>
          <w:shd w:val="clear" w:color="auto" w:fill="FFFFFF"/>
        </w:rPr>
        <w:t>.支出情况。2024年度支出合计1589.31万元，与2023年度相比，减少535.59万元，下降25.2%，主要原因是</w:t>
      </w:r>
      <w:r>
        <w:rPr>
          <w:rFonts w:hint="eastAsia" w:ascii="Times New Roman" w:hAnsi="Times New Roman" w:eastAsia="方正仿宋_GBK" w:cs="Times New Roman"/>
          <w:color w:val="333333"/>
          <w:kern w:val="0"/>
          <w:sz w:val="32"/>
          <w:szCs w:val="32"/>
          <w:shd w:val="clear" w:color="auto" w:fill="FFFFFF"/>
          <w:lang w:val="en-US" w:eastAsia="zh-CN"/>
        </w:rPr>
        <w:t>财政拨款收入下降从而支出相应下降。</w:t>
      </w:r>
      <w:r>
        <w:rPr>
          <w:rFonts w:hint="default" w:ascii="Times New Roman" w:hAnsi="Times New Roman" w:eastAsia="方正仿宋_GBK" w:cs="Times New Roman"/>
          <w:color w:val="333333"/>
          <w:kern w:val="0"/>
          <w:sz w:val="32"/>
          <w:szCs w:val="32"/>
          <w:shd w:val="clear" w:color="auto" w:fill="FFFFFF"/>
        </w:rPr>
        <w:t>其中：基本支出1476.18万元，占92.9%；项目支出113.12万元，占7.1%；经营支出0.00万元，占0.0%。此外，结余分配0.00万元。</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eastAsia" w:ascii="Times New Roman" w:hAnsi="Times New Roman" w:eastAsia="方正仿宋_GBK" w:cs="Times New Roman"/>
          <w:color w:val="333333"/>
          <w:kern w:val="0"/>
          <w:sz w:val="32"/>
          <w:szCs w:val="32"/>
          <w:shd w:val="clear" w:color="auto" w:fill="FFFFFF"/>
          <w:lang w:val="en-US" w:eastAsia="zh-CN"/>
        </w:rPr>
        <w:t>3</w:t>
      </w:r>
      <w:r>
        <w:rPr>
          <w:rFonts w:hint="default" w:ascii="Times New Roman" w:hAnsi="Times New Roman" w:eastAsia="方正仿宋_GBK" w:cs="Times New Roman"/>
          <w:color w:val="333333"/>
          <w:kern w:val="0"/>
          <w:sz w:val="32"/>
          <w:szCs w:val="32"/>
          <w:shd w:val="clear" w:color="auto" w:fill="FFFFFF"/>
        </w:rPr>
        <w:t>.结转结余情况。2024年度年末结转和结余0.00万元，与2023年度相比，减少50.36万元，下降100.0%，主要原因是</w:t>
      </w:r>
      <w:r>
        <w:rPr>
          <w:rFonts w:hint="eastAsia" w:ascii="Times New Roman" w:hAnsi="Times New Roman" w:eastAsia="方正仿宋_GBK" w:cs="Times New Roman"/>
          <w:color w:val="333333"/>
          <w:kern w:val="0"/>
          <w:sz w:val="32"/>
          <w:szCs w:val="32"/>
          <w:shd w:val="clear" w:color="auto" w:fill="FFFFFF"/>
          <w:lang w:val="en-US" w:eastAsia="zh-CN"/>
        </w:rPr>
        <w:t>2024年无结转结余。</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（二）财政拨款收入支出决算总体情况说明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rPr>
        <w:t>2024年度财政拨款收、支总计均为591.95万元。与2023年</w:t>
      </w:r>
      <w:r>
        <w:rPr>
          <w:rFonts w:hint="eastAsia" w:ascii="Times New Roman" w:hAnsi="Times New Roman" w:eastAsia="方正仿宋_GBK" w:cs="Times New Roman"/>
          <w:color w:val="333333"/>
          <w:kern w:val="0"/>
          <w:sz w:val="32"/>
          <w:szCs w:val="32"/>
          <w:shd w:val="clear" w:color="auto" w:fill="FFFFFF"/>
          <w:lang w:eastAsia="zh-CN"/>
        </w:rPr>
        <w:t>度</w:t>
      </w:r>
      <w:r>
        <w:rPr>
          <w:rFonts w:hint="default" w:ascii="Times New Roman" w:hAnsi="Times New Roman" w:eastAsia="方正仿宋_GBK" w:cs="Times New Roman"/>
          <w:color w:val="333333"/>
          <w:kern w:val="0"/>
          <w:sz w:val="32"/>
          <w:szCs w:val="32"/>
          <w:shd w:val="clear" w:color="auto" w:fill="FFFFFF"/>
        </w:rPr>
        <w:t>相比，财政拨款收、支总计各减少386.83万元，下降39.5%。主要原因是</w:t>
      </w:r>
      <w:r>
        <w:rPr>
          <w:rFonts w:hint="eastAsia" w:ascii="Times New Roman" w:hAnsi="Times New Roman" w:eastAsia="方正仿宋_GBK" w:cs="Times New Roman"/>
          <w:color w:val="333333"/>
          <w:kern w:val="0"/>
          <w:sz w:val="32"/>
          <w:szCs w:val="32"/>
          <w:shd w:val="clear" w:color="auto" w:fill="FFFFFF"/>
          <w:lang w:val="en-US" w:eastAsia="zh-CN"/>
        </w:rPr>
        <w:t>公共卫生拨款收入减少331.30万元，2024年公共卫生拨款经费于2025年拨付。</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（三）一般公共预算财政拨款收入支出决算情况说明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1.收入情况。2024年度一般公共预算财政拨款收入560.14万元，与2023年度相比，减少418.64万元，下降42.8%。主要原因是</w:t>
      </w:r>
      <w:r>
        <w:rPr>
          <w:rFonts w:hint="eastAsia" w:ascii="Times New Roman" w:hAnsi="Times New Roman" w:eastAsia="方正仿宋_GBK" w:cs="Times New Roman"/>
          <w:color w:val="333333"/>
          <w:kern w:val="0"/>
          <w:sz w:val="32"/>
          <w:szCs w:val="32"/>
          <w:shd w:val="clear" w:color="auto" w:fill="FFFFFF"/>
          <w:lang w:val="en-US" w:eastAsia="zh-CN"/>
        </w:rPr>
        <w:t>2024年公共卫生拨款于2025年拨付。</w:t>
      </w:r>
      <w:r>
        <w:rPr>
          <w:rFonts w:hint="default" w:ascii="Times New Roman" w:hAnsi="Times New Roman" w:eastAsia="方正仿宋_GBK" w:cs="Times New Roman"/>
          <w:color w:val="333333"/>
          <w:kern w:val="0"/>
          <w:sz w:val="32"/>
          <w:szCs w:val="32"/>
          <w:shd w:val="clear" w:color="auto" w:fill="FFFFFF"/>
        </w:rPr>
        <w:t>较年初预算数增加148.37万元，增长36.0%。主要原因是</w:t>
      </w:r>
      <w:r>
        <w:rPr>
          <w:rFonts w:hint="eastAsia" w:ascii="Times New Roman" w:hAnsi="Times New Roman" w:eastAsia="方正仿宋_GBK" w:cs="Times New Roman"/>
          <w:color w:val="333333"/>
          <w:kern w:val="0"/>
          <w:sz w:val="32"/>
          <w:szCs w:val="32"/>
          <w:shd w:val="clear" w:color="auto" w:fill="FFFFFF"/>
          <w:lang w:val="en-US" w:eastAsia="zh-CN"/>
        </w:rPr>
        <w:t>人员经费标准调整而相应增加财政拨款收入，同时收到专项设备购置款</w:t>
      </w:r>
      <w:r>
        <w:rPr>
          <w:rFonts w:hint="default" w:ascii="Times New Roman" w:hAnsi="Times New Roman" w:eastAsia="方正仿宋_GBK" w:cs="Times New Roman"/>
          <w:color w:val="333333"/>
          <w:kern w:val="0"/>
          <w:sz w:val="32"/>
          <w:szCs w:val="32"/>
          <w:shd w:val="clear" w:color="auto" w:fill="FFFFFF"/>
        </w:rPr>
        <w:t>。此外，年初财政拨款结转和结余31.82万元。</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2.支出情况。2024年度一般公共预算财政拨款支出591.95万元，与2023年度相比，减少355.02万元，下降37.5%。主要原因是</w:t>
      </w:r>
      <w:r>
        <w:rPr>
          <w:rFonts w:hint="eastAsia" w:ascii="Times New Roman" w:hAnsi="Times New Roman" w:eastAsia="方正仿宋_GBK" w:cs="Times New Roman"/>
          <w:color w:val="333333"/>
          <w:kern w:val="0"/>
          <w:sz w:val="32"/>
          <w:szCs w:val="32"/>
          <w:shd w:val="clear" w:color="auto" w:fill="FFFFFF"/>
          <w:lang w:val="en-US" w:eastAsia="zh-CN"/>
        </w:rPr>
        <w:t>财政拨款支出随着财政拨款收入的减少而减少。</w:t>
      </w:r>
      <w:r>
        <w:rPr>
          <w:rFonts w:hint="default" w:ascii="Times New Roman" w:hAnsi="Times New Roman" w:eastAsia="方正仿宋_GBK" w:cs="Times New Roman"/>
          <w:color w:val="333333"/>
          <w:kern w:val="0"/>
          <w:sz w:val="32"/>
          <w:szCs w:val="32"/>
          <w:shd w:val="clear" w:color="auto" w:fill="FFFFFF"/>
        </w:rPr>
        <w:t>较年初预算数增加180.18万元，增长43.8%。主要原因是</w:t>
      </w:r>
      <w:r>
        <w:rPr>
          <w:rFonts w:hint="eastAsia" w:ascii="Times New Roman" w:hAnsi="Times New Roman" w:eastAsia="方正仿宋_GBK" w:cs="Times New Roman"/>
          <w:color w:val="333333"/>
          <w:kern w:val="0"/>
          <w:sz w:val="32"/>
          <w:szCs w:val="32"/>
          <w:shd w:val="clear" w:color="auto" w:fill="FFFFFF"/>
          <w:lang w:val="en-US" w:eastAsia="zh-CN"/>
        </w:rPr>
        <w:t>人员经费标准调整而相应增加财政拨款支出，同时支付专项设备购置款</w:t>
      </w:r>
      <w:r>
        <w:rPr>
          <w:rFonts w:hint="default" w:ascii="Times New Roman" w:hAnsi="Times New Roman" w:eastAsia="方正仿宋_GBK" w:cs="Times New Roman"/>
          <w:color w:val="333333"/>
          <w:kern w:val="0"/>
          <w:sz w:val="32"/>
          <w:szCs w:val="32"/>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一般公共预算财政拨款支出主要</w:t>
      </w:r>
      <w:r>
        <w:rPr>
          <w:rFonts w:hint="eastAsia" w:ascii="Times New Roman" w:hAnsi="Times New Roman" w:eastAsia="方正仿宋_GBK" w:cs="Times New Roman"/>
          <w:color w:val="333333"/>
          <w:kern w:val="0"/>
          <w:sz w:val="32"/>
          <w:szCs w:val="32"/>
          <w:shd w:val="clear" w:color="auto" w:fill="FFFFFF"/>
          <w:lang w:eastAsia="zh-CN"/>
        </w:rPr>
        <w:t>用途如下</w:t>
      </w:r>
      <w:r>
        <w:rPr>
          <w:rFonts w:hint="default" w:ascii="Times New Roman" w:hAnsi="Times New Roman" w:eastAsia="方正仿宋_GBK" w:cs="Times New Roman"/>
          <w:color w:val="333333"/>
          <w:kern w:val="0"/>
          <w:sz w:val="32"/>
          <w:szCs w:val="32"/>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rPr>
        <w:t>（</w:t>
      </w:r>
      <w:r>
        <w:rPr>
          <w:rFonts w:hint="eastAsia" w:ascii="Times New Roman" w:hAnsi="Times New Roman" w:eastAsia="方正仿宋_GBK" w:cs="Times New Roman"/>
          <w:color w:val="333333"/>
          <w:kern w:val="0"/>
          <w:sz w:val="32"/>
          <w:szCs w:val="32"/>
          <w:shd w:val="clear" w:color="auto" w:fill="FFFFFF"/>
          <w:lang w:val="en-US" w:eastAsia="zh-CN"/>
        </w:rPr>
        <w:t>1</w:t>
      </w:r>
      <w:r>
        <w:rPr>
          <w:rFonts w:hint="default" w:ascii="Times New Roman" w:hAnsi="Times New Roman" w:eastAsia="方正仿宋_GBK" w:cs="Times New Roman"/>
          <w:color w:val="333333"/>
          <w:kern w:val="0"/>
          <w:sz w:val="32"/>
          <w:szCs w:val="32"/>
          <w:shd w:val="clear" w:color="auto" w:fill="FFFFFF"/>
        </w:rPr>
        <w:t>）社会保障</w:t>
      </w:r>
      <w:r>
        <w:rPr>
          <w:rFonts w:hint="eastAsia" w:ascii="Times New Roman" w:hAnsi="Times New Roman" w:eastAsia="方正仿宋_GBK" w:cs="Times New Roman"/>
          <w:color w:val="333333"/>
          <w:kern w:val="0"/>
          <w:sz w:val="32"/>
          <w:szCs w:val="32"/>
          <w:shd w:val="clear" w:color="auto" w:fill="FFFFFF"/>
          <w:lang w:eastAsia="zh-CN"/>
        </w:rPr>
        <w:t>和</w:t>
      </w:r>
      <w:r>
        <w:rPr>
          <w:rFonts w:hint="default" w:ascii="Times New Roman" w:hAnsi="Times New Roman" w:eastAsia="方正仿宋_GBK" w:cs="Times New Roman"/>
          <w:color w:val="333333"/>
          <w:kern w:val="0"/>
          <w:sz w:val="32"/>
          <w:szCs w:val="32"/>
          <w:shd w:val="clear" w:color="auto" w:fill="FFFFFF"/>
        </w:rPr>
        <w:t>就业支出100.49万元，占17.0%，较年初预算数增加17.39万元，增长20.9%，主要原因是</w:t>
      </w:r>
      <w:r>
        <w:rPr>
          <w:rFonts w:hint="eastAsia" w:ascii="Times New Roman" w:hAnsi="Times New Roman" w:eastAsia="方正仿宋_GBK" w:cs="Times New Roman"/>
          <w:color w:val="333333"/>
          <w:kern w:val="0"/>
          <w:sz w:val="32"/>
          <w:szCs w:val="32"/>
          <w:shd w:val="clear" w:color="auto" w:fill="FFFFFF"/>
          <w:lang w:val="en-US" w:eastAsia="zh-CN"/>
        </w:rPr>
        <w:t>2024年根据政策补缴清算2024年养老保险和职业年金调整金额。</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rPr>
        <w:t>（</w:t>
      </w:r>
      <w:r>
        <w:rPr>
          <w:rFonts w:hint="eastAsia" w:ascii="Times New Roman" w:hAnsi="Times New Roman" w:eastAsia="方正仿宋_GBK" w:cs="Times New Roman"/>
          <w:color w:val="333333"/>
          <w:kern w:val="0"/>
          <w:sz w:val="32"/>
          <w:szCs w:val="32"/>
          <w:shd w:val="clear" w:color="auto" w:fill="FFFFFF"/>
          <w:lang w:val="en-US" w:eastAsia="zh-CN"/>
        </w:rPr>
        <w:t>2</w:t>
      </w:r>
      <w:r>
        <w:rPr>
          <w:rFonts w:hint="default" w:ascii="Times New Roman" w:hAnsi="Times New Roman" w:eastAsia="方正仿宋_GBK" w:cs="Times New Roman"/>
          <w:color w:val="333333"/>
          <w:kern w:val="0"/>
          <w:sz w:val="32"/>
          <w:szCs w:val="32"/>
          <w:shd w:val="clear" w:color="auto" w:fill="FFFFFF"/>
        </w:rPr>
        <w:t>）卫生健康支出436.07万元，占73.7%，较年初预算数增加162.73万元，增长59.5%，主要原因是</w:t>
      </w:r>
      <w:r>
        <w:rPr>
          <w:rFonts w:hint="default" w:ascii="Times New Roman" w:hAnsi="Times New Roman" w:eastAsia="方正仿宋_GBK" w:cs="Times New Roman"/>
          <w:color w:val="333333"/>
          <w:kern w:val="0"/>
          <w:sz w:val="32"/>
          <w:szCs w:val="32"/>
          <w:shd w:val="clear" w:color="auto" w:fill="FFFFFF"/>
          <w:lang w:val="en-US" w:eastAsia="zh-CN"/>
        </w:rPr>
        <w:t>支出随着预算收入增加而增加。</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rPr>
        <w:t>（</w:t>
      </w:r>
      <w:r>
        <w:rPr>
          <w:rFonts w:hint="eastAsia" w:ascii="Times New Roman" w:hAnsi="Times New Roman" w:eastAsia="方正仿宋_GBK" w:cs="Times New Roman"/>
          <w:color w:val="333333"/>
          <w:kern w:val="0"/>
          <w:sz w:val="32"/>
          <w:szCs w:val="32"/>
          <w:shd w:val="clear" w:color="auto" w:fill="FFFFFF"/>
          <w:lang w:val="en-US" w:eastAsia="zh-CN"/>
        </w:rPr>
        <w:t>3</w:t>
      </w:r>
      <w:r>
        <w:rPr>
          <w:rFonts w:hint="default" w:ascii="Times New Roman" w:hAnsi="Times New Roman" w:eastAsia="方正仿宋_GBK" w:cs="Times New Roman"/>
          <w:color w:val="333333"/>
          <w:kern w:val="0"/>
          <w:sz w:val="32"/>
          <w:szCs w:val="32"/>
          <w:shd w:val="clear" w:color="auto" w:fill="FFFFFF"/>
        </w:rPr>
        <w:t>）农林水支出36.75万元，占6.2%，较年初预算数减少0.25万元，下降0.7%，主要原因是</w:t>
      </w:r>
      <w:r>
        <w:rPr>
          <w:rFonts w:hint="eastAsia" w:ascii="Times New Roman" w:hAnsi="Times New Roman" w:eastAsia="方正仿宋_GBK" w:cs="Times New Roman"/>
          <w:color w:val="333333"/>
          <w:kern w:val="0"/>
          <w:sz w:val="32"/>
          <w:szCs w:val="32"/>
          <w:shd w:val="clear" w:color="auto" w:fill="FFFFFF"/>
          <w:lang w:val="en-US" w:eastAsia="zh-CN"/>
        </w:rPr>
        <w:t>专项资金购买设备时节约了成本。</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rPr>
        <w:t>（</w:t>
      </w:r>
      <w:r>
        <w:rPr>
          <w:rFonts w:hint="eastAsia" w:ascii="Times New Roman" w:hAnsi="Times New Roman" w:eastAsia="方正仿宋_GBK" w:cs="Times New Roman"/>
          <w:color w:val="333333"/>
          <w:kern w:val="0"/>
          <w:sz w:val="32"/>
          <w:szCs w:val="32"/>
          <w:shd w:val="clear" w:color="auto" w:fill="FFFFFF"/>
          <w:lang w:val="en-US" w:eastAsia="zh-CN"/>
        </w:rPr>
        <w:t>4</w:t>
      </w:r>
      <w:r>
        <w:rPr>
          <w:rFonts w:hint="default" w:ascii="Times New Roman" w:hAnsi="Times New Roman" w:eastAsia="方正仿宋_GBK" w:cs="Times New Roman"/>
          <w:color w:val="333333"/>
          <w:kern w:val="0"/>
          <w:sz w:val="32"/>
          <w:szCs w:val="32"/>
          <w:shd w:val="clear" w:color="auto" w:fill="FFFFFF"/>
        </w:rPr>
        <w:t>）住房保障支出18.65万元，占3.2%，较年初预算数增加0.32万元，增长1.8%，主要原因</w:t>
      </w:r>
      <w:r>
        <w:rPr>
          <w:rFonts w:hint="eastAsia" w:ascii="Times New Roman" w:hAnsi="Times New Roman" w:eastAsia="方正仿宋_GBK" w:cs="Times New Roman"/>
          <w:color w:val="333333"/>
          <w:kern w:val="0"/>
          <w:sz w:val="32"/>
          <w:szCs w:val="32"/>
          <w:shd w:val="clear" w:color="auto" w:fill="FFFFFF"/>
          <w:lang w:val="en-US" w:eastAsia="zh-CN"/>
        </w:rPr>
        <w:t>人员工资调增相应调增住房保障支出。</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3.结转结余情况。2024年度年末一般公共预算财政拨款结转和结余0.00万元，与2023年度相比，减少31.82万元，下降100.0%，主要原因是</w:t>
      </w:r>
      <w:r>
        <w:rPr>
          <w:rFonts w:hint="eastAsia" w:ascii="Times New Roman" w:hAnsi="Times New Roman" w:eastAsia="方正仿宋_GBK" w:cs="Times New Roman"/>
          <w:color w:val="333333"/>
          <w:kern w:val="0"/>
          <w:sz w:val="32"/>
          <w:szCs w:val="32"/>
          <w:shd w:val="clear" w:color="auto" w:fill="FFFFFF"/>
          <w:lang w:val="en-US" w:eastAsia="zh-CN"/>
        </w:rPr>
        <w:t>2024年无结转结余。</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（四）一般公共预算财政拨款基本支出决算情况说明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2024年度一般公共财政拨款基本支出515.27万元。</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其中：</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val="en-US" w:eastAsia="zh-CN"/>
        </w:rPr>
      </w:pPr>
      <w:r>
        <w:rPr>
          <w:rFonts w:hint="default" w:ascii="Times New Roman" w:hAnsi="Times New Roman" w:eastAsia="方正仿宋_GBK" w:cs="Times New Roman"/>
          <w:color w:val="333333"/>
          <w:kern w:val="0"/>
          <w:sz w:val="32"/>
          <w:szCs w:val="32"/>
          <w:shd w:val="clear" w:color="auto" w:fill="FFFFFF"/>
        </w:rPr>
        <w:t>人员经费515.27万元，与2023年度相比，减少207.44万元，下降28.7%，主要原因是</w:t>
      </w:r>
      <w:r>
        <w:rPr>
          <w:rFonts w:hint="eastAsia" w:ascii="Times New Roman" w:hAnsi="Times New Roman" w:eastAsia="方正仿宋_GBK" w:cs="Times New Roman"/>
          <w:color w:val="333333"/>
          <w:kern w:val="0"/>
          <w:sz w:val="32"/>
          <w:szCs w:val="32"/>
          <w:shd w:val="clear" w:color="auto" w:fill="FFFFFF"/>
          <w:lang w:val="en-US" w:eastAsia="zh-CN"/>
        </w:rPr>
        <w:t>公共卫生拨款减少相应减少人员经费支出。</w:t>
      </w:r>
      <w:r>
        <w:rPr>
          <w:rFonts w:hint="default" w:ascii="Times New Roman" w:hAnsi="Times New Roman" w:eastAsia="方正仿宋_GBK" w:cs="Times New Roman"/>
          <w:color w:val="333333"/>
          <w:kern w:val="0"/>
          <w:sz w:val="32"/>
          <w:szCs w:val="32"/>
          <w:shd w:val="clear" w:color="auto" w:fill="FFFFFF"/>
        </w:rPr>
        <w:t>人员经费用途主要包括</w:t>
      </w:r>
      <w:r>
        <w:rPr>
          <w:rFonts w:hint="default" w:ascii="Times New Roman" w:hAnsi="Times New Roman" w:eastAsia="方正仿宋_GBK" w:cs="Times New Roman"/>
          <w:color w:val="333333"/>
          <w:kern w:val="0"/>
          <w:sz w:val="32"/>
          <w:szCs w:val="32"/>
          <w:shd w:val="clear" w:color="auto" w:fill="FFFFFF"/>
          <w:lang w:val="en-US" w:eastAsia="zh-CN"/>
        </w:rPr>
        <w:t>工资、绩效、社保</w:t>
      </w:r>
      <w:r>
        <w:rPr>
          <w:rFonts w:hint="eastAsia" w:ascii="Times New Roman" w:hAnsi="Times New Roman" w:eastAsia="方正仿宋_GBK" w:cs="Times New Roman"/>
          <w:color w:val="333333"/>
          <w:kern w:val="0"/>
          <w:sz w:val="32"/>
          <w:szCs w:val="32"/>
          <w:shd w:val="clear" w:color="auto" w:fill="FFFFFF"/>
          <w:lang w:val="en-US" w:eastAsia="zh-CN"/>
        </w:rPr>
        <w:t>、</w:t>
      </w:r>
      <w:r>
        <w:rPr>
          <w:rFonts w:hint="default" w:ascii="Times New Roman" w:hAnsi="Times New Roman" w:eastAsia="方正仿宋_GBK" w:cs="Times New Roman"/>
          <w:color w:val="333333"/>
          <w:kern w:val="0"/>
          <w:sz w:val="32"/>
          <w:szCs w:val="32"/>
          <w:shd w:val="clear" w:color="auto" w:fill="FFFFFF"/>
          <w:lang w:val="en-US" w:eastAsia="zh-CN"/>
        </w:rPr>
        <w:t>公积金</w:t>
      </w:r>
      <w:r>
        <w:rPr>
          <w:rFonts w:hint="eastAsia" w:ascii="Times New Roman" w:hAnsi="Times New Roman" w:eastAsia="方正仿宋_GBK" w:cs="Times New Roman"/>
          <w:color w:val="333333"/>
          <w:kern w:val="0"/>
          <w:sz w:val="32"/>
          <w:szCs w:val="32"/>
          <w:shd w:val="clear" w:color="auto" w:fill="FFFFFF"/>
          <w:lang w:val="en-US" w:eastAsia="zh-CN"/>
        </w:rPr>
        <w:t>及对个人和家庭的补助</w:t>
      </w:r>
      <w:r>
        <w:rPr>
          <w:rFonts w:hint="default" w:ascii="Times New Roman" w:hAnsi="Times New Roman" w:eastAsia="方正仿宋_GBK" w:cs="Times New Roman"/>
          <w:color w:val="333333"/>
          <w:kern w:val="0"/>
          <w:sz w:val="32"/>
          <w:szCs w:val="32"/>
          <w:shd w:val="clear" w:color="auto" w:fill="FFFFFF"/>
          <w:lang w:val="en-US" w:eastAsia="zh-CN"/>
        </w:rPr>
        <w:t>。</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rPr>
        <w:t>公用经费0.00万元，与2023年度相比，减少153.30万元，下降100.0%，主要原因是</w:t>
      </w:r>
      <w:r>
        <w:rPr>
          <w:rFonts w:hint="eastAsia" w:ascii="Times New Roman" w:hAnsi="Times New Roman" w:eastAsia="方正仿宋_GBK" w:cs="Times New Roman"/>
          <w:color w:val="333333"/>
          <w:kern w:val="0"/>
          <w:sz w:val="32"/>
          <w:szCs w:val="32"/>
          <w:shd w:val="clear" w:color="auto" w:fill="FFFFFF"/>
          <w:lang w:val="en-US" w:eastAsia="zh-CN"/>
        </w:rPr>
        <w:t>2024年无财政拨款公用经费支出。</w:t>
      </w:r>
      <w:r>
        <w:rPr>
          <w:rFonts w:hint="default" w:ascii="Times New Roman" w:hAnsi="Times New Roman" w:eastAsia="方正仿宋_GBK" w:cs="Times New Roman"/>
          <w:color w:val="333333"/>
          <w:kern w:val="0"/>
          <w:sz w:val="32"/>
          <w:szCs w:val="32"/>
          <w:shd w:val="clear" w:color="auto" w:fill="FFFFFF"/>
        </w:rPr>
        <w:t>公用经费用途主要包括</w:t>
      </w:r>
      <w:r>
        <w:rPr>
          <w:rFonts w:hint="default" w:ascii="Times New Roman" w:hAnsi="Times New Roman" w:eastAsia="方正仿宋_GBK" w:cs="Times New Roman"/>
          <w:color w:val="333333"/>
          <w:kern w:val="0"/>
          <w:sz w:val="32"/>
          <w:szCs w:val="32"/>
          <w:shd w:val="clear" w:color="auto" w:fill="FFFFFF"/>
          <w:lang w:val="en-US" w:eastAsia="zh-CN"/>
        </w:rPr>
        <w:t>专用材料费、劳务费及水电邮电费等。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（五）政府性基金预算收支决算情况说明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rPr>
      </w:pPr>
      <w:r>
        <w:rPr>
          <w:rFonts w:hint="default" w:ascii="Times New Roman" w:hAnsi="Times New Roman" w:eastAsia="方正仿宋_GBK" w:cs="Times New Roman"/>
          <w:color w:val="333333"/>
          <w:kern w:val="0"/>
          <w:sz w:val="32"/>
          <w:szCs w:val="32"/>
          <w:shd w:val="clear" w:color="auto" w:fill="FFFFFF"/>
          <w:lang w:eastAsia="zh-CN"/>
        </w:rPr>
        <w:t>本单位</w:t>
      </w:r>
      <w:r>
        <w:rPr>
          <w:rFonts w:hint="default" w:ascii="Times New Roman" w:hAnsi="Times New Roman" w:eastAsia="方正仿宋_GBK" w:cs="Times New Roman"/>
          <w:color w:val="333333"/>
          <w:kern w:val="0"/>
          <w:sz w:val="32"/>
          <w:szCs w:val="32"/>
          <w:shd w:val="clear" w:color="auto" w:fill="FFFFFF"/>
        </w:rPr>
        <w:t>202</w:t>
      </w:r>
      <w:r>
        <w:rPr>
          <w:rFonts w:hint="eastAsia" w:ascii="Times New Roman" w:hAnsi="Times New Roman" w:eastAsia="方正仿宋_GBK" w:cs="Times New Roman"/>
          <w:color w:val="333333"/>
          <w:kern w:val="0"/>
          <w:sz w:val="32"/>
          <w:szCs w:val="32"/>
          <w:shd w:val="clear" w:color="auto" w:fill="FFFFFF"/>
          <w:lang w:val="en-US" w:eastAsia="zh-CN"/>
        </w:rPr>
        <w:t>4</w:t>
      </w:r>
      <w:r>
        <w:rPr>
          <w:rFonts w:hint="default" w:ascii="Times New Roman" w:hAnsi="Times New Roman" w:eastAsia="方正仿宋_GBK" w:cs="Times New Roman"/>
          <w:color w:val="333333"/>
          <w:kern w:val="0"/>
          <w:sz w:val="32"/>
          <w:szCs w:val="32"/>
          <w:shd w:val="clear" w:color="auto" w:fill="FFFFFF"/>
        </w:rPr>
        <w:t>年度无政府性基金预算财政拨款收支。</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（六）国有资本经营预算财政拨款支出决算情况说明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eastAsia="zh-CN"/>
        </w:rPr>
      </w:pPr>
      <w:r>
        <w:rPr>
          <w:rFonts w:hint="default" w:ascii="Times New Roman" w:hAnsi="Times New Roman" w:eastAsia="方正仿宋_GBK" w:cs="Times New Roman"/>
          <w:color w:val="333333"/>
          <w:kern w:val="0"/>
          <w:sz w:val="32"/>
          <w:szCs w:val="32"/>
          <w:shd w:val="clear" w:color="auto" w:fill="FFFFFF"/>
          <w:lang w:eastAsia="zh-CN"/>
        </w:rPr>
        <w:t>本单位202</w:t>
      </w:r>
      <w:r>
        <w:rPr>
          <w:rFonts w:hint="eastAsia" w:ascii="Times New Roman" w:hAnsi="Times New Roman" w:eastAsia="方正仿宋_GBK" w:cs="Times New Roman"/>
          <w:color w:val="333333"/>
          <w:kern w:val="0"/>
          <w:sz w:val="32"/>
          <w:szCs w:val="32"/>
          <w:shd w:val="clear" w:color="auto" w:fill="FFFFFF"/>
          <w:lang w:val="en-US" w:eastAsia="zh-CN"/>
        </w:rPr>
        <w:t>4</w:t>
      </w:r>
      <w:r>
        <w:rPr>
          <w:rFonts w:hint="default" w:ascii="Times New Roman" w:hAnsi="Times New Roman" w:eastAsia="方正仿宋_GBK" w:cs="Times New Roman"/>
          <w:color w:val="333333"/>
          <w:kern w:val="0"/>
          <w:sz w:val="32"/>
          <w:szCs w:val="32"/>
          <w:shd w:val="clear" w:color="auto" w:fill="FFFFFF"/>
          <w:lang w:eastAsia="zh-CN"/>
        </w:rPr>
        <w:t>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w:t>
      </w:r>
      <w:r>
        <w:rPr>
          <w:rStyle w:val="10"/>
          <w:rFonts w:hint="eastAsia" w:ascii="方正黑体_GBK" w:hAnsi="方正黑体_GBK" w:eastAsia="方正黑体_GBK" w:cs="方正黑体_GBK"/>
          <w:b w:val="0"/>
          <w:bCs/>
          <w:sz w:val="32"/>
          <w:szCs w:val="32"/>
          <w:shd w:val="clear" w:color="auto" w:fill="FFFFFF"/>
          <w:lang w:eastAsia="zh-CN"/>
        </w:rPr>
        <w:t>财政拨款</w:t>
      </w:r>
      <w:r>
        <w:rPr>
          <w:rStyle w:val="10"/>
          <w:rFonts w:hint="eastAsia" w:ascii="方正黑体_GBK" w:hAnsi="方正黑体_GBK" w:eastAsia="方正黑体_GBK" w:cs="方正黑体_GBK"/>
          <w:b w:val="0"/>
          <w:bCs/>
          <w:sz w:val="32"/>
          <w:szCs w:val="32"/>
          <w:shd w:val="clear" w:color="auto" w:fill="FFFFFF"/>
        </w:rPr>
        <w:t>“三公”经费情况说明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eastAsia="zh-CN"/>
        </w:rPr>
      </w:pPr>
      <w:r>
        <w:rPr>
          <w:rFonts w:hint="default" w:ascii="Times New Roman" w:hAnsi="Times New Roman" w:eastAsia="方正仿宋_GBK" w:cs="Times New Roman"/>
          <w:color w:val="333333"/>
          <w:kern w:val="0"/>
          <w:sz w:val="32"/>
          <w:szCs w:val="32"/>
          <w:shd w:val="clear" w:color="auto" w:fill="FFFFFF"/>
          <w:lang w:eastAsia="zh-CN"/>
        </w:rPr>
        <w:t>本单位属于差额拨款单位，</w:t>
      </w:r>
      <w:r>
        <w:rPr>
          <w:rFonts w:hint="eastAsia" w:ascii="Times New Roman" w:hAnsi="Times New Roman" w:eastAsia="方正仿宋_GBK" w:cs="Times New Roman"/>
          <w:color w:val="333333"/>
          <w:kern w:val="0"/>
          <w:sz w:val="32"/>
          <w:szCs w:val="32"/>
          <w:shd w:val="clear" w:color="auto" w:fill="FFFFFF"/>
          <w:lang w:val="en-US" w:eastAsia="zh-CN"/>
        </w:rPr>
        <w:t>未使用</w:t>
      </w:r>
      <w:r>
        <w:rPr>
          <w:rFonts w:hint="default" w:ascii="Times New Roman" w:hAnsi="Times New Roman" w:eastAsia="方正仿宋_GBK" w:cs="Times New Roman"/>
          <w:color w:val="333333"/>
          <w:kern w:val="0"/>
          <w:sz w:val="32"/>
          <w:szCs w:val="32"/>
          <w:shd w:val="clear" w:color="auto" w:fill="FFFFFF"/>
          <w:lang w:eastAsia="zh-CN"/>
        </w:rPr>
        <w:t>财政</w:t>
      </w:r>
      <w:r>
        <w:rPr>
          <w:rFonts w:hint="eastAsia" w:ascii="Times New Roman" w:hAnsi="Times New Roman" w:eastAsia="方正仿宋_GBK" w:cs="Times New Roman"/>
          <w:color w:val="333333"/>
          <w:kern w:val="0"/>
          <w:sz w:val="32"/>
          <w:szCs w:val="32"/>
          <w:shd w:val="clear" w:color="auto" w:fill="FFFFFF"/>
          <w:lang w:val="en-US" w:eastAsia="zh-CN"/>
        </w:rPr>
        <w:t>资金</w:t>
      </w:r>
      <w:r>
        <w:rPr>
          <w:rFonts w:hint="default" w:ascii="Times New Roman" w:hAnsi="Times New Roman" w:eastAsia="方正仿宋_GBK" w:cs="Times New Roman"/>
          <w:color w:val="333333"/>
          <w:kern w:val="0"/>
          <w:sz w:val="32"/>
          <w:szCs w:val="32"/>
          <w:shd w:val="clear" w:color="auto" w:fill="FFFFFF"/>
          <w:lang w:eastAsia="zh-CN"/>
        </w:rPr>
        <w:t>保障“三公”经费。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（一）“三公”经费支出总体情况说明</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eastAsia="zh-CN"/>
        </w:rPr>
      </w:pPr>
      <w:r>
        <w:rPr>
          <w:rFonts w:hint="default" w:ascii="Times New Roman" w:hAnsi="Times New Roman" w:eastAsia="方正仿宋_GBK" w:cs="Times New Roman"/>
          <w:color w:val="333333"/>
          <w:kern w:val="0"/>
          <w:sz w:val="32"/>
          <w:szCs w:val="32"/>
          <w:shd w:val="clear" w:color="auto" w:fill="FFFFFF"/>
          <w:lang w:eastAsia="zh-CN"/>
        </w:rPr>
        <w:t>2024年度“三公”经费支出共计0.00万元，较年初预算数无增减，较上年支出数无增减，主要原因是</w:t>
      </w:r>
      <w:r>
        <w:rPr>
          <w:rFonts w:hint="eastAsia" w:ascii="Times New Roman" w:hAnsi="Times New Roman" w:eastAsia="方正仿宋_GBK" w:cs="Times New Roman"/>
          <w:color w:val="333333"/>
          <w:kern w:val="0"/>
          <w:sz w:val="32"/>
          <w:szCs w:val="32"/>
          <w:shd w:val="clear" w:color="auto" w:fill="FFFFFF"/>
          <w:lang w:val="en-US" w:eastAsia="zh-CN"/>
        </w:rPr>
        <w:t>本单位无“三公”经费支出。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（二）“三公”经费分项支出情况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因公出国（境）费用，费用支出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车购置费，费用支出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车运行维护费，费用支出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公务接待费，费用支出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（三）“三公”经费实物量情况</w:t>
      </w:r>
    </w:p>
    <w:p>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color w:val="333333"/>
          <w:kern w:val="0"/>
          <w:sz w:val="32"/>
          <w:szCs w:val="32"/>
          <w:shd w:val="clear" w:color="auto" w:fill="FFFFFF"/>
          <w:lang w:eastAsia="zh-CN"/>
        </w:rPr>
      </w:pPr>
      <w:r>
        <w:rPr>
          <w:rFonts w:hint="default" w:ascii="Times New Roman" w:hAnsi="Times New Roman" w:eastAsia="方正仿宋_GBK" w:cs="Times New Roman"/>
          <w:color w:val="333333"/>
          <w:kern w:val="0"/>
          <w:sz w:val="32"/>
          <w:szCs w:val="32"/>
          <w:shd w:val="clear" w:color="auto" w:fill="FFFFFF"/>
          <w:lang w:eastAsia="zh-CN"/>
        </w:rPr>
        <w:t>2024年度本</w:t>
      </w:r>
      <w:r>
        <w:rPr>
          <w:rFonts w:hint="eastAsia" w:ascii="Times New Roman" w:hAnsi="Times New Roman" w:eastAsia="方正仿宋_GBK" w:cs="Times New Roman"/>
          <w:color w:val="333333"/>
          <w:kern w:val="0"/>
          <w:sz w:val="32"/>
          <w:szCs w:val="32"/>
          <w:shd w:val="clear" w:color="auto" w:fill="FFFFFF"/>
          <w:lang w:eastAsia="zh-CN"/>
        </w:rPr>
        <w:t>单位</w:t>
      </w:r>
      <w:r>
        <w:rPr>
          <w:rFonts w:hint="default" w:ascii="Times New Roman" w:hAnsi="Times New Roman" w:eastAsia="方正仿宋_GBK" w:cs="Times New Roman"/>
          <w:color w:val="333333"/>
          <w:kern w:val="0"/>
          <w:sz w:val="32"/>
          <w:szCs w:val="32"/>
          <w:shd w:val="clear" w:color="auto" w:fill="FFFFFF"/>
          <w:lang w:eastAsia="zh-CN"/>
        </w:rPr>
        <w:t>因公出国（境）共计0个团组，0人；公务用车购置0辆，公务车保有量为0辆；国内公务接待0批次0人，其中：国内外事接待0批次，0人；国（境）外公务接待0批次，0人。2024年本</w:t>
      </w:r>
      <w:r>
        <w:rPr>
          <w:rFonts w:hint="eastAsia" w:ascii="Times New Roman" w:hAnsi="Times New Roman" w:eastAsia="方正仿宋_GBK" w:cs="Times New Roman"/>
          <w:color w:val="333333"/>
          <w:kern w:val="0"/>
          <w:sz w:val="32"/>
          <w:szCs w:val="32"/>
          <w:shd w:val="clear" w:color="auto" w:fill="FFFFFF"/>
          <w:lang w:eastAsia="zh-CN"/>
        </w:rPr>
        <w:t>单位</w:t>
      </w:r>
      <w:r>
        <w:rPr>
          <w:rFonts w:hint="default" w:ascii="Times New Roman" w:hAnsi="Times New Roman" w:eastAsia="方正仿宋_GBK" w:cs="Times New Roman"/>
          <w:color w:val="333333"/>
          <w:kern w:val="0"/>
          <w:sz w:val="32"/>
          <w:szCs w:val="32"/>
          <w:shd w:val="clear" w:color="auto" w:fill="FFFFFF"/>
          <w:lang w:eastAsia="zh-CN"/>
        </w:rPr>
        <w:t>人均接待费0元，车均购置费0万元，车均维护费0万元。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（一）财政拨款会议费、培训费和差旅费情况说明</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eastAsia" w:ascii="Times New Roman" w:hAnsi="Times New Roman" w:eastAsia="方正仿宋_GBK" w:cs="方正仿宋_GBK"/>
          <w:b w:val="0"/>
          <w:bCs w:val="0"/>
          <w:color w:val="auto"/>
          <w:sz w:val="32"/>
          <w:szCs w:val="32"/>
          <w:shd w:val="clear" w:color="auto" w:fill="FFFFFF"/>
          <w:lang w:eastAsia="zh-CN"/>
        </w:rPr>
        <w:t>因本单位属于差额拨款单位，财政未保障本单位</w:t>
      </w:r>
      <w:r>
        <w:rPr>
          <w:rFonts w:hint="default" w:ascii="Times New Roman" w:hAnsi="Times New Roman" w:eastAsia="方正仿宋_GBK" w:cs="方正仿宋_GBK"/>
          <w:b w:val="0"/>
          <w:bCs w:val="0"/>
          <w:color w:val="auto"/>
          <w:sz w:val="32"/>
          <w:szCs w:val="32"/>
        </w:rPr>
        <w:t>会议费和培训费</w:t>
      </w:r>
      <w:r>
        <w:rPr>
          <w:rFonts w:hint="eastAsia" w:ascii="Times New Roman" w:hAnsi="Times New Roman" w:eastAsia="方正仿宋_GBK" w:cs="方正仿宋_GBK"/>
          <w:b w:val="0"/>
          <w:bCs w:val="0"/>
          <w:color w:val="auto"/>
          <w:sz w:val="32"/>
          <w:szCs w:val="32"/>
          <w:lang w:eastAsia="zh-CN"/>
        </w:rPr>
        <w:t>。</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（二）机关运行经费情况说明</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auto"/>
          <w:sz w:val="32"/>
          <w:szCs w:val="32"/>
          <w:highlight w:val="yellow"/>
        </w:rPr>
      </w:pPr>
      <w:r>
        <w:rPr>
          <w:rFonts w:hint="eastAsia" w:ascii="Times New Roman" w:hAnsi="Times New Roman" w:eastAsia="方正仿宋_GBK" w:cs="方正仿宋_GBK"/>
          <w:b w:val="0"/>
          <w:bCs w:val="0"/>
          <w:color w:val="auto"/>
          <w:sz w:val="32"/>
          <w:szCs w:val="32"/>
          <w:shd w:val="clear" w:color="auto" w:fill="FFFFFF"/>
          <w:lang w:eastAsia="zh-CN"/>
        </w:rPr>
        <w:t>因本单位属于差额拨款单位，财政未保障本单位机关运行经费</w:t>
      </w:r>
      <w:r>
        <w:rPr>
          <w:rFonts w:hint="eastAsia" w:ascii="Times New Roman" w:hAnsi="Times New Roman" w:eastAsia="方正仿宋_GBK" w:cs="方正仿宋_GBK"/>
          <w:b w:val="0"/>
          <w:bCs w:val="0"/>
          <w:color w:val="auto"/>
          <w:sz w:val="32"/>
          <w:szCs w:val="32"/>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333333"/>
          <w:kern w:val="0"/>
          <w:sz w:val="32"/>
          <w:szCs w:val="32"/>
          <w:shd w:val="clear" w:color="auto" w:fill="FFFFFF"/>
          <w:lang w:val="en-US" w:eastAsia="zh-CN" w:bidi="ar-SA"/>
        </w:rPr>
      </w:pPr>
      <w:r>
        <w:rPr>
          <w:rFonts w:hint="default" w:ascii="Times New Roman" w:hAnsi="Times New Roman" w:eastAsia="方正仿宋_GBK" w:cs="Times New Roman"/>
          <w:color w:val="333333"/>
          <w:kern w:val="0"/>
          <w:sz w:val="32"/>
          <w:szCs w:val="32"/>
          <w:shd w:val="clear" w:color="auto" w:fill="FFFFFF"/>
          <w:lang w:val="en-US" w:eastAsia="zh-CN" w:bidi="ar-SA"/>
        </w:rPr>
        <w:t>截至2024年12月31日，本</w:t>
      </w:r>
      <w:r>
        <w:rPr>
          <w:rFonts w:hint="eastAsia" w:ascii="Times New Roman" w:hAnsi="Times New Roman" w:eastAsia="方正仿宋_GBK" w:cs="Times New Roman"/>
          <w:color w:val="333333"/>
          <w:kern w:val="0"/>
          <w:sz w:val="32"/>
          <w:szCs w:val="32"/>
          <w:shd w:val="clear" w:color="auto" w:fill="FFFFFF"/>
          <w:lang w:val="en-US" w:eastAsia="zh-CN" w:bidi="ar-SA"/>
        </w:rPr>
        <w:t>单位</w:t>
      </w:r>
      <w:r>
        <w:rPr>
          <w:rFonts w:hint="default" w:ascii="Times New Roman" w:hAnsi="Times New Roman" w:eastAsia="方正仿宋_GBK" w:cs="Times New Roman"/>
          <w:color w:val="333333"/>
          <w:kern w:val="0"/>
          <w:sz w:val="32"/>
          <w:szCs w:val="32"/>
          <w:shd w:val="clear" w:color="auto" w:fill="FFFFFF"/>
          <w:lang w:val="en-US" w:eastAsia="zh-CN" w:bidi="ar-SA"/>
        </w:rPr>
        <w:t>共有车辆2辆，其中，副部（省）级及以上领导用车0辆、主要负责人用车0辆、机要通信用车0辆、应急保障用车0辆、执法执勤用车0辆，特种专业技术用车2辆，离退休干部用车0辆。单价100万元（含）以上专用设备0台（套）。</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（四）政府采购支出情况说明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color w:val="333333"/>
          <w:kern w:val="0"/>
          <w:sz w:val="32"/>
          <w:szCs w:val="32"/>
          <w:shd w:val="clear" w:color="auto" w:fill="FFFFFF"/>
          <w:lang w:val="en-US" w:eastAsia="zh-CN" w:bidi="ar-SA"/>
        </w:rPr>
      </w:pPr>
      <w:r>
        <w:rPr>
          <w:rFonts w:hint="default" w:ascii="Times New Roman" w:hAnsi="Times New Roman" w:eastAsia="方正仿宋_GBK" w:cs="Times New Roman"/>
          <w:color w:val="333333"/>
          <w:kern w:val="0"/>
          <w:sz w:val="32"/>
          <w:szCs w:val="32"/>
          <w:shd w:val="clear" w:color="auto" w:fill="FFFFFF"/>
          <w:lang w:val="en-US" w:eastAsia="zh-CN" w:bidi="ar-SA"/>
        </w:rPr>
        <w:t>2024年度本</w:t>
      </w:r>
      <w:r>
        <w:rPr>
          <w:rFonts w:hint="eastAsia" w:ascii="Times New Roman" w:hAnsi="Times New Roman" w:eastAsia="方正仿宋_GBK" w:cs="Times New Roman"/>
          <w:color w:val="333333"/>
          <w:kern w:val="0"/>
          <w:sz w:val="32"/>
          <w:szCs w:val="32"/>
          <w:shd w:val="clear" w:color="auto" w:fill="FFFFFF"/>
          <w:lang w:val="en-US" w:eastAsia="zh-CN" w:bidi="ar-SA"/>
        </w:rPr>
        <w:t>单位</w:t>
      </w:r>
      <w:r>
        <w:rPr>
          <w:rFonts w:hint="default" w:ascii="Times New Roman" w:hAnsi="Times New Roman" w:eastAsia="方正仿宋_GBK" w:cs="Times New Roman"/>
          <w:color w:val="333333"/>
          <w:kern w:val="0"/>
          <w:sz w:val="32"/>
          <w:szCs w:val="32"/>
          <w:shd w:val="clear" w:color="auto" w:fill="FFFFFF"/>
          <w:lang w:val="en-US" w:eastAsia="zh-CN" w:bidi="ar-SA"/>
        </w:rPr>
        <w:t>政府采购支出总额324.68万元，其中：政府采购货物支出324.68万元、政府采购工程支出0.00万元、政府采购服务支出0.00万元。授予中小企业合同金额324.68万元，占政府采购支出总额的100.0%，其中：授予小微企业合同金额324.68万元，占政府采购支出总额的100.0 %。主要用于采购</w:t>
      </w:r>
      <w:r>
        <w:rPr>
          <w:rFonts w:hint="eastAsia" w:ascii="Times New Roman" w:hAnsi="Times New Roman" w:eastAsia="方正仿宋_GBK" w:cs="Times New Roman"/>
          <w:color w:val="333333"/>
          <w:kern w:val="0"/>
          <w:sz w:val="32"/>
          <w:szCs w:val="32"/>
          <w:shd w:val="clear" w:color="auto" w:fill="FFFFFF"/>
          <w:lang w:val="en-US" w:eastAsia="zh-CN" w:bidi="ar-SA"/>
        </w:rPr>
        <w:t>货物类支出。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lang w:val="en-US" w:eastAsia="zh-CN"/>
        </w:rPr>
      </w:pPr>
      <w:r>
        <w:rPr>
          <w:rStyle w:val="10"/>
          <w:rFonts w:hint="eastAsia" w:ascii="方正黑体_GBK" w:hAnsi="方正黑体_GBK" w:eastAsia="方正黑体_GBK" w:cs="方正黑体_GBK"/>
          <w:b w:val="0"/>
          <w:bCs/>
          <w:sz w:val="32"/>
          <w:szCs w:val="32"/>
          <w:shd w:val="clear" w:color="auto" w:fill="FFFFFF"/>
        </w:rPr>
        <w:t>五、</w:t>
      </w:r>
      <w:r>
        <w:rPr>
          <w:rStyle w:val="10"/>
          <w:rFonts w:hint="eastAsia" w:ascii="方正黑体_GBK" w:hAnsi="方正黑体_GBK" w:eastAsia="方正黑体_GBK" w:cs="方正黑体_GBK"/>
          <w:b w:val="0"/>
          <w:bCs/>
          <w:sz w:val="32"/>
          <w:szCs w:val="32"/>
          <w:shd w:val="clear" w:color="auto" w:fill="FFFFFF"/>
          <w:lang w:eastAsia="zh-CN"/>
        </w:rPr>
        <w:t>预算</w:t>
      </w:r>
      <w:r>
        <w:rPr>
          <w:rStyle w:val="10"/>
          <w:rFonts w:hint="eastAsia" w:ascii="方正黑体_GBK" w:hAnsi="方正黑体_GBK" w:eastAsia="方正黑体_GBK" w:cs="方正黑体_GBK"/>
          <w:b w:val="0"/>
          <w:bCs/>
          <w:sz w:val="32"/>
          <w:szCs w:val="32"/>
          <w:shd w:val="clear" w:color="auto" w:fill="FFFFFF"/>
          <w:lang w:val="en-US" w:eastAsia="zh-CN"/>
        </w:rPr>
        <w:t>绩效管理情况说明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w:t>
      </w:r>
      <w:r>
        <w:rPr>
          <w:rStyle w:val="10"/>
          <w:rFonts w:hint="eastAsia" w:ascii="方正楷体_GBK" w:hAnsi="方正楷体_GBK" w:eastAsia="方正楷体_GBK" w:cs="方正楷体_GBK"/>
          <w:b w:val="0"/>
          <w:bCs/>
          <w:sz w:val="32"/>
          <w:szCs w:val="32"/>
          <w:shd w:val="clear" w:color="auto" w:fill="FFFFFF"/>
          <w:lang w:val="en-US" w:eastAsia="zh-CN"/>
        </w:rPr>
        <w:t>单位</w:t>
      </w:r>
      <w:r>
        <w:rPr>
          <w:rStyle w:val="10"/>
          <w:rFonts w:hint="eastAsia" w:ascii="方正楷体_GBK" w:hAnsi="方正楷体_GBK" w:eastAsia="方正楷体_GBK" w:cs="方正楷体_GBK"/>
          <w:b w:val="0"/>
          <w:bCs/>
          <w:sz w:val="32"/>
          <w:szCs w:val="32"/>
          <w:shd w:val="clear" w:color="auto" w:fill="FFFFFF"/>
        </w:rPr>
        <w:t>自评情况</w:t>
      </w:r>
    </w:p>
    <w:p>
      <w:pPr>
        <w:pStyle w:val="13"/>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3"/>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rPr>
          <w:rFonts w:hint="eastAsia" w:ascii="Times New Roman" w:hAnsi="Times New Roman" w:eastAsia="方正仿宋_GBK" w:cs="方正仿宋_GBK"/>
          <w:b w:val="0"/>
          <w:bCs w:val="0"/>
          <w:sz w:val="32"/>
          <w:szCs w:val="32"/>
          <w:shd w:val="clear" w:color="auto" w:fill="FFFFFF"/>
          <w:lang w:val="en-US" w:eastAsia="zh-CN"/>
        </w:rPr>
      </w:pPr>
    </w:p>
    <w:tbl>
      <w:tblPr>
        <w:tblStyle w:val="11"/>
        <w:tblW w:w="8469"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
      <w:tblGrid>
        <w:gridCol w:w="473"/>
        <w:gridCol w:w="1441"/>
        <w:gridCol w:w="1623"/>
        <w:gridCol w:w="633"/>
        <w:gridCol w:w="554"/>
        <w:gridCol w:w="633"/>
        <w:gridCol w:w="633"/>
        <w:gridCol w:w="715"/>
        <w:gridCol w:w="633"/>
        <w:gridCol w:w="473"/>
        <w:gridCol w:w="6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jc w:val="center"/>
        </w:trPr>
        <w:tc>
          <w:tcPr>
            <w:tcW w:w="8469" w:type="dxa"/>
            <w:gridSpan w:val="11"/>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napToGrid w:val="0"/>
              <w:ind w:firstLine="1285" w:firstLineChars="400"/>
              <w:jc w:val="both"/>
              <w:textAlignment w:val="center"/>
              <w:rPr>
                <w:rFonts w:hint="eastAsia" w:ascii="方正仿宋_GBK" w:hAnsi="方正仿宋_GBK" w:eastAsia="方正仿宋_GBK" w:cs="方正仿宋_GBK"/>
                <w:b/>
                <w:bCs w:val="0"/>
                <w:i w:val="0"/>
                <w:color w:val="auto"/>
                <w:kern w:val="0"/>
                <w:sz w:val="32"/>
                <w:szCs w:val="32"/>
                <w:highlight w:val="none"/>
                <w:u w:val="none"/>
                <w:lang w:val="en-US" w:eastAsia="zh-CN" w:bidi="ar"/>
              </w:rPr>
            </w:pPr>
            <w:r>
              <w:rPr>
                <w:rFonts w:hint="eastAsia" w:ascii="方正仿宋_GBK" w:hAnsi="方正仿宋_GBK" w:eastAsia="方正仿宋_GBK" w:cs="方正仿宋_GBK"/>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snapToGrid w:val="0"/>
              <w:jc w:val="center"/>
              <w:textAlignment w:val="center"/>
              <w:rPr>
                <w:rFonts w:hint="eastAsia" w:ascii="宋体" w:hAnsi="宋体" w:eastAsia="宋体" w:cs="宋体"/>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default" w:ascii="Times New Roman" w:hAnsi="Times New Roman" w:cs="Times New Roman"/>
                <w:b/>
                <w:bCs w:val="0"/>
                <w:i w:val="0"/>
                <w:color w:val="auto"/>
                <w:kern w:val="0"/>
                <w:sz w:val="32"/>
                <w:szCs w:val="32"/>
                <w:highlight w:val="none"/>
                <w:u w:val="none"/>
                <w:lang w:val="en-US" w:eastAsia="zh-CN" w:bidi="ar"/>
              </w:rPr>
              <w:t>4</w:t>
            </w:r>
            <w:r>
              <w:rPr>
                <w:rFonts w:hint="eastAsia" w:ascii="方正仿宋_GBK" w:hAnsi="方正仿宋_GBK" w:eastAsia="方正仿宋_GBK" w:cs="方正仿宋_GBK"/>
                <w:b/>
                <w:bCs w:val="0"/>
                <w:i w:val="0"/>
                <w:color w:val="auto"/>
                <w:kern w:val="0"/>
                <w:sz w:val="32"/>
                <w:szCs w:val="32"/>
                <w:highlight w:val="none"/>
                <w:u w:val="none"/>
                <w:lang w:val="en-US" w:eastAsia="zh-CN" w:bidi="ar"/>
              </w:rPr>
              <w:t>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jc w:val="center"/>
        </w:trPr>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14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jc w:val="center"/>
        </w:trPr>
        <w:tc>
          <w:tcPr>
            <w:tcW w:w="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144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56" w:type="dxa"/>
            <w:left w:w="77" w:type="dxa"/>
            <w:bottom w:w="56" w:type="dxa"/>
            <w:right w:w="77" w:type="dxa"/>
          </w:tblCellMar>
        </w:tblPrEx>
        <w:trPr>
          <w:trHeight w:val="0" w:hRule="atLeast"/>
          <w:jc w:val="center"/>
        </w:trPr>
        <w:tc>
          <w:tcPr>
            <w:tcW w:w="47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44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16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4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val="0"/>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3"/>
        <w:keepNext w:val="0"/>
        <w:keepLines w:val="0"/>
        <w:pageBreakBefore w:val="0"/>
        <w:widowControl/>
        <w:kinsoku/>
        <w:wordWrap/>
        <w:overflowPunct/>
        <w:topLinePunct w:val="0"/>
        <w:autoSpaceDE w:val="0"/>
        <w:autoSpaceDN/>
        <w:bidi w:val="0"/>
        <w:spacing w:line="560" w:lineRule="exact"/>
        <w:ind w:firstLine="640"/>
        <w:jc w:val="both"/>
        <w:textAlignment w:val="auto"/>
        <w:rPr>
          <w:rFonts w:hint="eastAsia" w:ascii="楷体" w:hAnsi="楷体" w:eastAsia="楷体" w:cs="楷体"/>
          <w:b/>
          <w:bCs/>
          <w:sz w:val="32"/>
          <w:szCs w:val="32"/>
          <w:shd w:val="clear" w:color="auto" w:fill="FFFFFF"/>
          <w:lang w:bidi="ar"/>
        </w:rPr>
      </w:pPr>
      <w:bookmarkStart w:id="0" w:name="_GoBack"/>
      <w:bookmarkEnd w:id="0"/>
      <w:r>
        <w:rPr>
          <w:rStyle w:val="10"/>
          <w:rFonts w:hint="eastAsia" w:ascii="方正楷体_GBK" w:hAnsi="方正楷体_GBK" w:eastAsia="方正楷体_GBK" w:cs="方正楷体_GBK"/>
          <w:b w:val="0"/>
          <w:bCs/>
          <w:sz w:val="32"/>
          <w:szCs w:val="32"/>
          <w:shd w:val="clear" w:color="auto" w:fill="FFFFFF"/>
          <w:lang w:val="en-US" w:eastAsia="zh-CN" w:bidi="ar-SA"/>
        </w:rPr>
        <w:t>（二）单位绩效评价情况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outlineLvl w:val="9"/>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lang w:eastAsia="zh-CN"/>
        </w:rPr>
        <w:t>六</w:t>
      </w:r>
      <w:r>
        <w:rPr>
          <w:rStyle w:val="10"/>
          <w:rFonts w:hint="eastAsia" w:ascii="方正黑体_GBK" w:hAnsi="方正黑体_GBK" w:eastAsia="方正黑体_GBK" w:cs="方正黑体_GBK"/>
          <w:b w:val="0"/>
          <w:bCs/>
          <w:sz w:val="32"/>
          <w:szCs w:val="32"/>
          <w:shd w:val="clear" w:color="auto" w:fill="FFFFFF"/>
        </w:rPr>
        <w:t>、专业名词解释</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（二）事业收入：</w:t>
      </w:r>
      <w:r>
        <w:rPr>
          <w:rFonts w:ascii="方正仿宋_GBK" w:hAnsi="方正仿宋_GBK" w:eastAsia="方正仿宋_GBK" w:cs="方正仿宋_GBK"/>
          <w:sz w:val="32"/>
          <w:szCs w:val="32"/>
          <w:shd w:val="clear" w:color="auto" w:fill="FFFFFF"/>
        </w:rPr>
        <w:t>指事业单位开展专业业务活动及其辅助活动取得的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w:t>
      </w:r>
      <w:r>
        <w:rPr>
          <w:rFonts w:hint="eastAsia" w:ascii="方正仿宋_GBK" w:hAnsi="方正仿宋_GBK" w:eastAsia="方正仿宋_GBK" w:cs="方正仿宋_GBK"/>
          <w:sz w:val="32"/>
          <w:szCs w:val="32"/>
          <w:shd w:val="clear" w:color="auto" w:fill="FFFFFF"/>
          <w:lang w:eastAsia="zh-CN"/>
        </w:rPr>
        <w:t>收入</w:t>
      </w:r>
      <w:r>
        <w:rPr>
          <w:rFonts w:ascii="方正仿宋_GBK" w:hAnsi="方正仿宋_GBK" w:eastAsia="方正仿宋_GBK" w:cs="方正仿宋_GBK"/>
          <w:sz w:val="32"/>
          <w:szCs w:val="32"/>
          <w:shd w:val="clear" w:color="auto" w:fill="FFFFFF"/>
        </w:rPr>
        <w:t>。</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（五）使用非财政拨款结余</w:t>
      </w:r>
      <w:r>
        <w:rPr>
          <w:rStyle w:val="10"/>
          <w:rFonts w:hint="eastAsia" w:ascii="方正楷体_GBK" w:hAnsi="方正楷体_GBK" w:eastAsia="方正楷体_GBK" w:cs="方正楷体_GBK"/>
          <w:b w:val="0"/>
          <w:bCs/>
          <w:sz w:val="32"/>
          <w:szCs w:val="32"/>
          <w:shd w:val="clear" w:color="auto" w:fill="FFFFFF"/>
          <w:lang w:eastAsia="zh-CN"/>
        </w:rPr>
        <w:t>（含专用结余）</w:t>
      </w:r>
      <w:r>
        <w:rPr>
          <w:rStyle w:val="10"/>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指</w:t>
      </w:r>
      <w:r>
        <w:rPr>
          <w:rFonts w:hint="eastAsia" w:ascii="方正仿宋_GBK" w:hAnsi="方正仿宋_GBK" w:eastAsia="方正仿宋_GBK" w:cs="方正仿宋_GBK"/>
          <w:sz w:val="32"/>
          <w:szCs w:val="32"/>
          <w:shd w:val="clear" w:color="auto" w:fill="FFFFFF"/>
          <w:lang w:eastAsia="zh-CN"/>
        </w:rPr>
        <w:t>事业单位按照预算管理要求使用非财政拨款结余弥补收支差额的金额，以及使用专用结余安排支出的金额。</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（十五）商品和服务支出（支出经济分类科目类级）：</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10"/>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default" w:ascii="方正黑体_GBK" w:hAnsi="方正黑体_GBK" w:eastAsia="方正黑体_GBK" w:cs="方正黑体_GBK"/>
          <w:b w:val="0"/>
          <w:bCs/>
          <w:sz w:val="32"/>
          <w:szCs w:val="32"/>
          <w:shd w:val="clear" w:color="auto" w:fill="FFFFFF"/>
          <w:lang w:eastAsia="zh-CN"/>
        </w:rPr>
      </w:pPr>
      <w:r>
        <w:rPr>
          <w:rStyle w:val="10"/>
          <w:rFonts w:hint="eastAsia" w:ascii="方正黑体_GBK" w:hAnsi="方正黑体_GBK" w:eastAsia="方正黑体_GBK" w:cs="方正黑体_GBK"/>
          <w:b w:val="0"/>
          <w:bCs/>
          <w:sz w:val="32"/>
          <w:szCs w:val="32"/>
          <w:shd w:val="clear" w:color="auto" w:fill="FFFFFF"/>
          <w:lang w:eastAsia="zh-CN"/>
        </w:rPr>
        <w:t>七、决算公开联系方式及信息反馈渠道</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p>
    <w:p>
      <w:pPr>
        <w:pStyle w:val="13"/>
        <w:keepNext w:val="0"/>
        <w:keepLines w:val="0"/>
        <w:pageBreakBefore w:val="0"/>
        <w:widowControl/>
        <w:kinsoku/>
        <w:wordWrap/>
        <w:overflowPunct/>
        <w:topLinePunct w:val="0"/>
        <w:autoSpaceDE w:val="0"/>
        <w:autoSpaceDN/>
        <w:bidi w:val="0"/>
        <w:adjustRightInd/>
        <w:spacing w:beforeAutospacing="0" w:afterAutospacing="0" w:line="560" w:lineRule="exact"/>
        <w:ind w:firstLine="640"/>
        <w:jc w:val="both"/>
        <w:textAlignment w:val="auto"/>
        <w:rPr>
          <w:rFonts w:hint="default" w:ascii="方正仿宋_GBK" w:hAnsi="方正仿宋_GBK" w:eastAsia="方正仿宋_GBK" w:cs="方正仿宋_GBK"/>
          <w:sz w:val="32"/>
          <w:szCs w:val="32"/>
          <w:shd w:val="clear" w:color="auto" w:fill="FFFFFF"/>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eastAsia" w:ascii="方正仿宋_GBK" w:hAnsi="方正仿宋_GBK" w:eastAsia="方正仿宋_GBK" w:cs="方正仿宋_GBK"/>
          <w:sz w:val="32"/>
          <w:szCs w:val="32"/>
          <w:shd w:val="clear" w:color="auto" w:fill="FFFFFF"/>
          <w:lang w:val="en-US" w:eastAsia="zh-CN"/>
        </w:rPr>
        <w:t xml:space="preserve">杨凤群  </w:t>
      </w:r>
      <w:r>
        <w:rPr>
          <w:rStyle w:val="10"/>
          <w:rFonts w:hint="default" w:ascii="Times New Roman" w:hAnsi="Times New Roman" w:eastAsia="方正仿宋_GBK" w:cs="Times New Roman"/>
          <w:b w:val="0"/>
          <w:bCs/>
          <w:sz w:val="32"/>
          <w:szCs w:val="32"/>
          <w:shd w:val="clear" w:color="auto" w:fill="FFFFFF"/>
        </w:rPr>
        <w:t>023-76656700</w:t>
      </w:r>
    </w:p>
    <w:tbl>
      <w:tblPr>
        <w:tblStyle w:val="11"/>
        <w:tblpPr w:leftFromText="180" w:rightFromText="180" w:vertAnchor="text" w:horzAnchor="page" w:tblpX="1058" w:tblpY="22"/>
        <w:tblOverlap w:val="never"/>
        <w:tblW w:w="15292" w:type="dxa"/>
        <w:tblInd w:w="0" w:type="dxa"/>
        <w:tblLayout w:type="fixed"/>
        <w:tblCellMar>
          <w:top w:w="0" w:type="dxa"/>
          <w:left w:w="0" w:type="dxa"/>
          <w:bottom w:w="0" w:type="dxa"/>
          <w:right w:w="0" w:type="dxa"/>
        </w:tblCellMar>
      </w:tblPr>
      <w:tblGrid>
        <w:gridCol w:w="4294"/>
        <w:gridCol w:w="3558"/>
        <w:gridCol w:w="4044"/>
        <w:gridCol w:w="3396"/>
      </w:tblGrid>
      <w:tr>
        <w:tblPrEx>
          <w:tblLayout w:type="fixed"/>
          <w:tblCellMar>
            <w:top w:w="0" w:type="dxa"/>
            <w:left w:w="0" w:type="dxa"/>
            <w:bottom w:w="0" w:type="dxa"/>
            <w:right w:w="0" w:type="dxa"/>
          </w:tblCellMar>
        </w:tblPrEx>
        <w:trPr>
          <w:trHeight w:val="232" w:hRule="atLeast"/>
        </w:trPr>
        <w:tc>
          <w:tcPr>
            <w:tcW w:w="15292" w:type="dxa"/>
            <w:gridSpan w:val="4"/>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44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39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秀山土家族苗族自治县平凯街道社区卫生服务中心</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3396"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7440"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560.14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966.64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100.49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1,433.42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36.75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18.65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1,538.94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1,589.31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339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50.36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3396"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1,589.31</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39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1,589.31</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120" w:type="dxa"/>
        <w:tblInd w:w="0" w:type="dxa"/>
        <w:tblLayout w:type="fixed"/>
        <w:tblCellMar>
          <w:top w:w="0" w:type="dxa"/>
          <w:left w:w="0" w:type="dxa"/>
          <w:bottom w:w="0" w:type="dxa"/>
          <w:right w:w="0" w:type="dxa"/>
        </w:tblCellMar>
      </w:tblPr>
      <w:tblGrid>
        <w:gridCol w:w="1611"/>
        <w:gridCol w:w="3039"/>
        <w:gridCol w:w="1291"/>
        <w:gridCol w:w="1343"/>
        <w:gridCol w:w="1234"/>
        <w:gridCol w:w="1234"/>
        <w:gridCol w:w="1300"/>
        <w:gridCol w:w="1234"/>
        <w:gridCol w:w="1370"/>
        <w:gridCol w:w="1464"/>
      </w:tblGrid>
      <w:tr>
        <w:tblPrEx>
          <w:tblLayout w:type="fixed"/>
          <w:tblCellMar>
            <w:top w:w="0" w:type="dxa"/>
            <w:left w:w="0" w:type="dxa"/>
            <w:bottom w:w="0" w:type="dxa"/>
            <w:right w:w="0" w:type="dxa"/>
          </w:tblCellMar>
        </w:tblPrEx>
        <w:trPr>
          <w:trHeight w:val="505" w:hRule="atLeast"/>
        </w:trPr>
        <w:tc>
          <w:tcPr>
            <w:tcW w:w="15120"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258" w:hRule="atLeast"/>
        </w:trPr>
        <w:tc>
          <w:tcPr>
            <w:tcW w:w="594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秀山土家族苗族自治县平凯街道社区卫生服务中心</w:t>
            </w:r>
          </w:p>
        </w:tc>
        <w:tc>
          <w:tcPr>
            <w:tcW w:w="134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7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258" w:hRule="atLeast"/>
        </w:trPr>
        <w:tc>
          <w:tcPr>
            <w:tcW w:w="594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4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3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7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64"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57" w:hRule="atLeast"/>
        </w:trPr>
        <w:tc>
          <w:tcPr>
            <w:tcW w:w="465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bottom"/>
              <w:rPr>
                <w:rFonts w:hint="default" w:cs="宋体"/>
                <w:b/>
                <w:color w:val="000000"/>
                <w:sz w:val="20"/>
                <w:szCs w:val="20"/>
              </w:rPr>
            </w:pPr>
            <w:r>
              <w:rPr>
                <w:rFonts w:cs="宋体"/>
                <w:b/>
                <w:color w:val="000000"/>
                <w:sz w:val="20"/>
                <w:szCs w:val="20"/>
              </w:rPr>
              <w:t>项目</w:t>
            </w:r>
          </w:p>
        </w:tc>
        <w:tc>
          <w:tcPr>
            <w:tcW w:w="12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本年收入合计</w:t>
            </w:r>
          </w:p>
        </w:tc>
        <w:tc>
          <w:tcPr>
            <w:tcW w:w="13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财政拨款收入</w:t>
            </w:r>
          </w:p>
        </w:tc>
        <w:tc>
          <w:tcPr>
            <w:tcW w:w="12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上级补助收入</w:t>
            </w:r>
          </w:p>
        </w:tc>
        <w:tc>
          <w:tcPr>
            <w:tcW w:w="253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60" w:lineRule="exact"/>
              <w:jc w:val="center"/>
              <w:textAlignment w:val="bottom"/>
              <w:rPr>
                <w:rFonts w:hint="default" w:cs="宋体"/>
                <w:b/>
                <w:color w:val="000000"/>
                <w:sz w:val="20"/>
                <w:szCs w:val="20"/>
              </w:rPr>
            </w:pPr>
            <w:r>
              <w:rPr>
                <w:rFonts w:cs="宋体"/>
                <w:b/>
                <w:color w:val="000000"/>
                <w:sz w:val="20"/>
                <w:szCs w:val="20"/>
              </w:rPr>
              <w:t>事业收入</w:t>
            </w:r>
          </w:p>
        </w:tc>
        <w:tc>
          <w:tcPr>
            <w:tcW w:w="12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经营收入</w:t>
            </w:r>
          </w:p>
        </w:tc>
        <w:tc>
          <w:tcPr>
            <w:tcW w:w="137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附属单位上缴收入</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12" w:hRule="atLeast"/>
        </w:trPr>
        <w:tc>
          <w:tcPr>
            <w:tcW w:w="161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功能分类科目编码</w:t>
            </w:r>
          </w:p>
        </w:tc>
        <w:tc>
          <w:tcPr>
            <w:tcW w:w="3039"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项目（按“项”级功能分类科目）</w:t>
            </w: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cs="宋体"/>
                <w:b/>
                <w:color w:val="000000"/>
                <w:sz w:val="20"/>
                <w:szCs w:val="20"/>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cs="宋体"/>
                <w:b/>
                <w:color w:val="000000"/>
                <w:sz w:val="20"/>
                <w:szCs w:val="20"/>
              </w:rPr>
            </w:pPr>
          </w:p>
        </w:tc>
        <w:tc>
          <w:tcPr>
            <w:tcW w:w="12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小计</w:t>
            </w: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center"/>
              <w:rPr>
                <w:rFonts w:hint="default" w:cs="宋体"/>
                <w:b/>
                <w:color w:val="000000"/>
                <w:sz w:val="20"/>
                <w:szCs w:val="20"/>
              </w:rPr>
            </w:pPr>
            <w:r>
              <w:rPr>
                <w:rFonts w:cs="宋体"/>
                <w:b/>
                <w:color w:val="000000"/>
                <w:sz w:val="20"/>
                <w:szCs w:val="20"/>
              </w:rPr>
              <w:t>其中：教育收费</w:t>
            </w: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cs="宋体"/>
                <w:b/>
                <w:color w:val="000000"/>
                <w:sz w:val="20"/>
                <w:szCs w:val="20"/>
              </w:rPr>
            </w:pPr>
          </w:p>
        </w:tc>
        <w:tc>
          <w:tcPr>
            <w:tcW w:w="1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cs="宋体"/>
                <w:b/>
                <w:color w:val="000000"/>
                <w:sz w:val="20"/>
                <w:szCs w:val="20"/>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60" w:lineRule="exact"/>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1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3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1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3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12" w:hRule="atLeast"/>
        </w:trPr>
        <w:tc>
          <w:tcPr>
            <w:tcW w:w="161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3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7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266" w:hRule="atLeast"/>
        </w:trPr>
        <w:tc>
          <w:tcPr>
            <w:tcW w:w="4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jc w:val="center"/>
              <w:textAlignment w:val="center"/>
              <w:rPr>
                <w:rFonts w:hint="default" w:cs="宋体"/>
                <w:b/>
                <w:color w:val="000000"/>
                <w:sz w:val="20"/>
                <w:szCs w:val="20"/>
              </w:rPr>
            </w:pPr>
            <w:r>
              <w:rPr>
                <w:rFonts w:cs="宋体"/>
                <w:b/>
                <w:color w:val="000000"/>
                <w:sz w:val="20"/>
                <w:szCs w:val="20"/>
              </w:rPr>
              <w:t>合计</w:t>
            </w:r>
          </w:p>
        </w:tc>
        <w:tc>
          <w:tcPr>
            <w:tcW w:w="129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1,538.94</w:t>
            </w:r>
            <w:r>
              <w:rPr>
                <w:rFonts w:ascii="Times New Roman" w:hAnsi="Times New Roman"/>
                <w:b/>
                <w:color w:val="000000"/>
                <w:sz w:val="20"/>
                <w:u w:color="auto"/>
              </w:rPr>
              <w:t xml:space="preserve"> </w:t>
            </w:r>
          </w:p>
        </w:tc>
        <w:tc>
          <w:tcPr>
            <w:tcW w:w="13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560.14</w:t>
            </w:r>
            <w:r>
              <w:rPr>
                <w:rFonts w:ascii="Times New Roman" w:hAnsi="Times New Roman"/>
                <w:b/>
                <w:color w:val="000000"/>
                <w:sz w:val="20"/>
                <w:u w:color="auto"/>
              </w:rPr>
              <w:t xml:space="preserve"> </w:t>
            </w:r>
          </w:p>
        </w:tc>
        <w:tc>
          <w:tcPr>
            <w:tcW w:w="12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966.64</w:t>
            </w:r>
            <w:r>
              <w:rPr>
                <w:rFonts w:ascii="Times New Roman" w:hAnsi="Times New Roman"/>
                <w:b/>
                <w:color w:val="000000"/>
                <w:sz w:val="20"/>
                <w:u w:color="auto"/>
              </w:rPr>
              <w:t xml:space="preserve"> </w:t>
            </w:r>
          </w:p>
        </w:tc>
        <w:tc>
          <w:tcPr>
            <w:tcW w:w="1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7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12.16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208</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社会保障和就业支出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100.49</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100.49</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20805</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行政事业单位养老支出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100.49</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100.49</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2080502</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事业单位离退休</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44.14</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44.14</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2080505</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机关事业单位基本养老保险缴费支出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37.33</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37.33</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2080506</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机关事业单位职业年金缴费支出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19.01</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19.01</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210</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卫生健康支出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1,383.06</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404.26</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966.64</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12.16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21003</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基层医疗卫生机构</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1,068.59</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296.18</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760.24</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12.16</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2100301</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城市社区卫生机构</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1,056.35</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283.94</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760.24</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2100399</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其他基层医疗卫生机构支出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12.24</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12.24</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21004</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公共卫生</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294.59</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88.19</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206.40</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2100408</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基本公共卫生服务</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279.95</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73.55</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206.40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2100409</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重大公共卫生服务</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14.08</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14.08</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2100410</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突发公共卫生事件应急处置</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0.56</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0.56</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21011</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行政事业单位医疗</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19.88</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19.88</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2101102</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事业单位医疗</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15.28</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15.28</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2101199</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其他行政事业单位医疗支出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4.61</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4.61</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213</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农林水支出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36.75</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36.75</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21305</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巩固脱贫攻坚成果衔接乡村振兴</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36.75</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36.75</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2130599</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其他巩固脱贫攻坚成果衔接乡村振兴支出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36.75</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36.75</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221</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住房保障支出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18.65</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18.65</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22102</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b/>
                <w:color w:val="000000"/>
                <w:sz w:val="20"/>
                <w:szCs w:val="20"/>
              </w:rPr>
              <w:t>住房改革支出</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18.65</w:t>
            </w:r>
            <w:r>
              <w:rPr>
                <w:rFonts w:ascii="Times New Roman" w:hAnsi="Times New Roman"/>
                <w:b/>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18.65</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113" w:hRule="atLeast"/>
        </w:trPr>
        <w:tc>
          <w:tcPr>
            <w:tcW w:w="161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2210201</w:t>
            </w:r>
          </w:p>
        </w:tc>
        <w:tc>
          <w:tcPr>
            <w:tcW w:w="303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20" w:lineRule="exact"/>
              <w:textAlignment w:val="center"/>
              <w:rPr>
                <w:rFonts w:hint="default" w:cs="宋体"/>
                <w:color w:val="000000"/>
                <w:sz w:val="20"/>
                <w:szCs w:val="20"/>
              </w:rPr>
            </w:pPr>
            <w:r>
              <w:rPr>
                <w:rFonts w:cs="宋体"/>
                <w:color w:val="000000"/>
                <w:sz w:val="20"/>
                <w:szCs w:val="20"/>
              </w:rPr>
              <w:t>住房公积金</w:t>
            </w:r>
          </w:p>
        </w:tc>
        <w:tc>
          <w:tcPr>
            <w:tcW w:w="12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18.65</w:t>
            </w:r>
            <w:r>
              <w:rPr>
                <w:rFonts w:ascii="Times New Roman" w:hAnsi="Times New Roman"/>
                <w:color w:val="000000"/>
                <w:sz w:val="20"/>
                <w:u w:color="auto"/>
              </w:rPr>
              <w:t xml:space="preserve"> </w:t>
            </w:r>
          </w:p>
        </w:tc>
        <w:tc>
          <w:tcPr>
            <w:tcW w:w="13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18.65</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2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220" w:type="dxa"/>
        <w:tblInd w:w="0" w:type="dxa"/>
        <w:tblLayout w:type="fixed"/>
        <w:tblCellMar>
          <w:top w:w="0" w:type="dxa"/>
          <w:left w:w="0" w:type="dxa"/>
          <w:bottom w:w="0" w:type="dxa"/>
          <w:right w:w="0" w:type="dxa"/>
        </w:tblCellMar>
      </w:tblPr>
      <w:tblGrid>
        <w:gridCol w:w="1623"/>
        <w:gridCol w:w="3764"/>
        <w:gridCol w:w="1375"/>
        <w:gridCol w:w="1678"/>
        <w:gridCol w:w="1612"/>
        <w:gridCol w:w="1543"/>
        <w:gridCol w:w="1678"/>
        <w:gridCol w:w="1947"/>
      </w:tblGrid>
      <w:tr>
        <w:tblPrEx>
          <w:tblLayout w:type="fixed"/>
          <w:tblCellMar>
            <w:top w:w="0" w:type="dxa"/>
            <w:left w:w="0" w:type="dxa"/>
            <w:bottom w:w="0" w:type="dxa"/>
            <w:right w:w="0" w:type="dxa"/>
          </w:tblCellMar>
        </w:tblPrEx>
        <w:trPr>
          <w:cantSplit/>
          <w:trHeight w:val="344" w:hRule="atLeast"/>
        </w:trPr>
        <w:tc>
          <w:tcPr>
            <w:tcW w:w="15220" w:type="dxa"/>
            <w:gridSpan w:val="8"/>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auto"/>
              <w:jc w:val="center"/>
              <w:textAlignment w:val="bottom"/>
              <w:rPr>
                <w:rFonts w:hint="default" w:cs="宋体"/>
                <w:b/>
                <w:color w:val="000000"/>
                <w:sz w:val="18"/>
                <w:szCs w:val="18"/>
              </w:rPr>
            </w:pPr>
            <w:r>
              <w:rPr>
                <w:rFonts w:cs="宋体"/>
                <w:b/>
                <w:color w:val="000000"/>
                <w:sz w:val="32"/>
                <w:szCs w:val="32"/>
              </w:rPr>
              <w:t>支出决算表</w:t>
            </w:r>
          </w:p>
        </w:tc>
      </w:tr>
      <w:tr>
        <w:tblPrEx>
          <w:tblLayout w:type="fixed"/>
          <w:tblCellMar>
            <w:top w:w="0" w:type="dxa"/>
            <w:left w:w="0" w:type="dxa"/>
            <w:bottom w:w="0" w:type="dxa"/>
            <w:right w:w="0" w:type="dxa"/>
          </w:tblCellMar>
        </w:tblPrEx>
        <w:trPr>
          <w:cantSplit/>
          <w:trHeight w:val="176" w:hRule="atLeast"/>
        </w:trPr>
        <w:tc>
          <w:tcPr>
            <w:tcW w:w="6762" w:type="dxa"/>
            <w:gridSpan w:val="3"/>
            <w:vMerge w:val="restart"/>
            <w:tcBorders>
              <w:top w:val="nil"/>
              <w:left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r>
              <w:rPr>
                <w:rFonts w:cs="宋体"/>
                <w:sz w:val="18"/>
                <w:szCs w:val="18"/>
              </w:rPr>
              <w:t>单位</w:t>
            </w:r>
            <w:r>
              <w:rPr>
                <w:rFonts w:cs="宋体"/>
                <w:color w:val="000000"/>
                <w:sz w:val="18"/>
                <w:szCs w:val="18"/>
              </w:rPr>
              <w:t>：</w:t>
            </w:r>
            <w:r>
              <w:rPr>
                <w:color w:val="000000"/>
                <w:sz w:val="18"/>
                <w:szCs w:val="18"/>
                <w:u w:color="auto"/>
              </w:rPr>
              <w:t xml:space="preserve">秀山土家族苗族自治县平凯街道社区卫生服务中心 </w:t>
            </w:r>
          </w:p>
        </w:tc>
        <w:tc>
          <w:tcPr>
            <w:tcW w:w="167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61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54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67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94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jc w:val="right"/>
              <w:textAlignment w:val="bottom"/>
              <w:rPr>
                <w:rFonts w:hint="default" w:cs="宋体"/>
                <w:color w:val="000000"/>
                <w:sz w:val="18"/>
                <w:szCs w:val="18"/>
              </w:rPr>
            </w:pPr>
            <w:r>
              <w:rPr>
                <w:rFonts w:cs="宋体"/>
                <w:color w:val="000000"/>
                <w:sz w:val="18"/>
                <w:szCs w:val="18"/>
              </w:rPr>
              <w:t>公开</w:t>
            </w:r>
            <w:r>
              <w:rPr>
                <w:rFonts w:hint="default" w:ascii="Times New Roman" w:hAnsi="Times New Roman" w:cs="Times New Roman"/>
                <w:color w:val="000000"/>
                <w:sz w:val="18"/>
                <w:szCs w:val="18"/>
              </w:rPr>
              <w:t>03</w:t>
            </w:r>
            <w:r>
              <w:rPr>
                <w:rFonts w:cs="宋体"/>
                <w:color w:val="000000"/>
                <w:sz w:val="18"/>
                <w:szCs w:val="18"/>
              </w:rPr>
              <w:t>表</w:t>
            </w:r>
          </w:p>
        </w:tc>
      </w:tr>
      <w:tr>
        <w:tblPrEx>
          <w:tblLayout w:type="fixed"/>
          <w:tblCellMar>
            <w:top w:w="0" w:type="dxa"/>
            <w:left w:w="0" w:type="dxa"/>
            <w:bottom w:w="0" w:type="dxa"/>
            <w:right w:w="0" w:type="dxa"/>
          </w:tblCellMar>
        </w:tblPrEx>
        <w:trPr>
          <w:cantSplit/>
          <w:trHeight w:val="176" w:hRule="atLeast"/>
        </w:trPr>
        <w:tc>
          <w:tcPr>
            <w:tcW w:w="6762" w:type="dxa"/>
            <w:gridSpan w:val="3"/>
            <w:vMerge w:val="continue"/>
            <w:tcBorders>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67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612"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543"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678"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rPr>
                <w:rFonts w:hint="default" w:cs="宋体"/>
                <w:color w:val="000000"/>
                <w:sz w:val="18"/>
                <w:szCs w:val="18"/>
              </w:rPr>
            </w:pPr>
          </w:p>
        </w:tc>
        <w:tc>
          <w:tcPr>
            <w:tcW w:w="1947" w:type="dxa"/>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20" w:lineRule="exact"/>
              <w:jc w:val="right"/>
              <w:textAlignment w:val="bottom"/>
              <w:rPr>
                <w:rFonts w:hint="default" w:cs="宋体"/>
                <w:color w:val="000000"/>
                <w:sz w:val="18"/>
                <w:szCs w:val="18"/>
              </w:rPr>
            </w:pPr>
            <w:r>
              <w:rPr>
                <w:rFonts w:cs="宋体"/>
                <w:color w:val="000000"/>
                <w:sz w:val="18"/>
                <w:szCs w:val="18"/>
              </w:rPr>
              <w:t>单位：</w:t>
            </w:r>
            <w:r>
              <w:rPr>
                <w:rFonts w:cs="宋体"/>
                <w:sz w:val="18"/>
                <w:szCs w:val="18"/>
              </w:rPr>
              <w:t>万元</w:t>
            </w:r>
          </w:p>
        </w:tc>
      </w:tr>
      <w:tr>
        <w:tblPrEx>
          <w:tblLayout w:type="fixed"/>
          <w:tblCellMar>
            <w:top w:w="0" w:type="dxa"/>
            <w:left w:w="0" w:type="dxa"/>
            <w:bottom w:w="0" w:type="dxa"/>
            <w:right w:w="0" w:type="dxa"/>
          </w:tblCellMar>
        </w:tblPrEx>
        <w:trPr>
          <w:cantSplit/>
          <w:trHeight w:val="181" w:hRule="atLeast"/>
        </w:trPr>
        <w:tc>
          <w:tcPr>
            <w:tcW w:w="5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keepNext w:val="0"/>
              <w:keepLines w:val="0"/>
              <w:pageBreakBefore w:val="0"/>
              <w:widowControl/>
              <w:kinsoku/>
              <w:overflowPunct/>
              <w:topLinePunct w:val="0"/>
              <w:autoSpaceDE/>
              <w:autoSpaceDN/>
              <w:bidi w:val="0"/>
              <w:adjustRightInd/>
              <w:snapToGrid/>
              <w:spacing w:line="260" w:lineRule="exact"/>
              <w:jc w:val="center"/>
              <w:textAlignment w:val="bottom"/>
              <w:rPr>
                <w:rFonts w:hint="default" w:cs="宋体"/>
                <w:b/>
                <w:color w:val="000000"/>
                <w:sz w:val="18"/>
                <w:szCs w:val="18"/>
              </w:rPr>
            </w:pPr>
            <w:r>
              <w:rPr>
                <w:rFonts w:cs="宋体"/>
                <w:b/>
                <w:color w:val="000000"/>
                <w:sz w:val="18"/>
                <w:szCs w:val="18"/>
              </w:rPr>
              <w:t>项目</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本年支出合计</w:t>
            </w:r>
          </w:p>
        </w:tc>
        <w:tc>
          <w:tcPr>
            <w:tcW w:w="16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基本支出</w:t>
            </w:r>
          </w:p>
        </w:tc>
        <w:tc>
          <w:tcPr>
            <w:tcW w:w="16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项目支出</w:t>
            </w:r>
          </w:p>
        </w:tc>
        <w:tc>
          <w:tcPr>
            <w:tcW w:w="15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上缴上级支出</w:t>
            </w:r>
          </w:p>
        </w:tc>
        <w:tc>
          <w:tcPr>
            <w:tcW w:w="16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经营支出</w:t>
            </w:r>
          </w:p>
        </w:tc>
        <w:tc>
          <w:tcPr>
            <w:tcW w:w="19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对附属单位补助支出</w:t>
            </w:r>
          </w:p>
        </w:tc>
      </w:tr>
      <w:tr>
        <w:tblPrEx>
          <w:tblLayout w:type="fixed"/>
          <w:tblCellMar>
            <w:top w:w="0" w:type="dxa"/>
            <w:left w:w="0" w:type="dxa"/>
            <w:bottom w:w="0" w:type="dxa"/>
            <w:right w:w="0" w:type="dxa"/>
          </w:tblCellMar>
        </w:tblPrEx>
        <w:trPr>
          <w:cantSplit/>
          <w:trHeight w:val="312" w:hRule="atLeast"/>
        </w:trPr>
        <w:tc>
          <w:tcPr>
            <w:tcW w:w="162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功能分类科目编码</w:t>
            </w:r>
          </w:p>
        </w:tc>
        <w:tc>
          <w:tcPr>
            <w:tcW w:w="3764"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项目（按“项”级功能分类科目）</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cantSplit/>
          <w:trHeight w:val="312" w:hRule="atLeast"/>
        </w:trPr>
        <w:tc>
          <w:tcPr>
            <w:tcW w:w="162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3764"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cantSplit/>
          <w:trHeight w:val="312" w:hRule="atLeast"/>
        </w:trPr>
        <w:tc>
          <w:tcPr>
            <w:tcW w:w="162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3764"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cantSplit/>
          <w:trHeight w:val="312" w:hRule="atLeast"/>
        </w:trPr>
        <w:tc>
          <w:tcPr>
            <w:tcW w:w="162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3764"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5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c>
          <w:tcPr>
            <w:tcW w:w="19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cantSplit/>
          <w:trHeight w:val="181" w:hRule="atLeast"/>
        </w:trPr>
        <w:tc>
          <w:tcPr>
            <w:tcW w:w="5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jc w:val="center"/>
              <w:textAlignment w:val="center"/>
              <w:rPr>
                <w:rFonts w:hint="default" w:cs="宋体"/>
                <w:b/>
                <w:color w:val="000000"/>
                <w:sz w:val="18"/>
                <w:szCs w:val="18"/>
              </w:rPr>
            </w:pPr>
            <w:r>
              <w:rPr>
                <w:rFonts w:cs="宋体"/>
                <w:b/>
                <w:color w:val="000000"/>
                <w:sz w:val="18"/>
                <w:szCs w:val="18"/>
              </w:rPr>
              <w:t>合计</w:t>
            </w:r>
          </w:p>
        </w:tc>
        <w:tc>
          <w:tcPr>
            <w:tcW w:w="13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1,589.31</w:t>
            </w:r>
            <w:r>
              <w:rPr>
                <w:rFonts w:ascii="Times New Roman" w:hAnsi="Times New Roman"/>
                <w:b/>
                <w:color w:val="000000"/>
                <w:sz w:val="18"/>
                <w:szCs w:val="18"/>
                <w:u w:color="auto"/>
              </w:rPr>
              <w:t xml:space="preserve"> </w:t>
            </w:r>
          </w:p>
        </w:tc>
        <w:tc>
          <w:tcPr>
            <w:tcW w:w="16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1,476.18</w:t>
            </w:r>
            <w:r>
              <w:rPr>
                <w:rFonts w:ascii="Times New Roman" w:hAnsi="Times New Roman"/>
                <w:b/>
                <w:color w:val="000000"/>
                <w:sz w:val="18"/>
                <w:szCs w:val="18"/>
                <w:u w:color="auto"/>
              </w:rPr>
              <w:t xml:space="preserve"> </w:t>
            </w:r>
          </w:p>
        </w:tc>
        <w:tc>
          <w:tcPr>
            <w:tcW w:w="161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113.12</w:t>
            </w:r>
            <w:r>
              <w:rPr>
                <w:rFonts w:ascii="Times New Roman" w:hAnsi="Times New Roman"/>
                <w:b/>
                <w:color w:val="000000"/>
                <w:sz w:val="18"/>
                <w:szCs w:val="18"/>
                <w:u w:color="auto"/>
              </w:rPr>
              <w:t xml:space="preserve"> </w:t>
            </w:r>
          </w:p>
        </w:tc>
        <w:tc>
          <w:tcPr>
            <w:tcW w:w="154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c>
          <w:tcPr>
            <w:tcW w:w="16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c>
          <w:tcPr>
            <w:tcW w:w="194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208</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社会保障和就业支出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100.49</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100.49</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20805</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行政事业单位养老支出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100.49</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100.49</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2080502</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事业单位离退休</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44.14</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44.14</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2080505</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机关事业单位基本养老保险缴费支出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37.33</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37.33</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2080506</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机关事业单位职业年金缴费支出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19.01</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19.01</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210</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卫生健康支出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1,433.42</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1,357.05</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76.37</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21003</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基层医疗卫生机构</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1,118.95</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1,057.22</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61.73</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2100301</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城市社区卫生机构</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1,106.71</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1,057.22</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49.49</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2100399</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其他基层医疗卫生机构支出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12.24</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12.24</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21004</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公共卫生</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294.59</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279.95</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14.64</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2100408</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基本公共卫生服务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279.95</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279.95</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2100409</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重大公共卫生服务</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14.08</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14.08</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2100410</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突发公共卫生事件应急处置</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0.56</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0.56</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21011</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行政事业单位医疗</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19.88</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19.88</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2101102</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事业单位医疗</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15.28</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15.28</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2101199</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其他行政事业单位医疗支出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4.61</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4.61</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213</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农林水支出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36.75</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36.75</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21305</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巩固脱贫攻坚成果衔接乡村振兴</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36.75</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36.75</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2130599</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其他巩固脱贫攻坚成果衔接乡村振兴支出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36.75</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36.75</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221</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住房保障支出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18.65</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18.65</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1"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22102</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b/>
                <w:color w:val="000000"/>
                <w:sz w:val="18"/>
                <w:szCs w:val="18"/>
              </w:rPr>
              <w:t>住房改革支出</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18.65</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18.65</w:t>
            </w:r>
            <w:r>
              <w:rPr>
                <w:rFonts w:ascii="Times New Roman" w:hAnsi="Times New Roman"/>
                <w:b/>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cantSplit/>
          <w:trHeight w:val="187" w:hRule="atLeast"/>
        </w:trPr>
        <w:tc>
          <w:tcPr>
            <w:tcW w:w="162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2210201</w:t>
            </w:r>
          </w:p>
        </w:tc>
        <w:tc>
          <w:tcPr>
            <w:tcW w:w="37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60" w:lineRule="exact"/>
              <w:textAlignment w:val="center"/>
              <w:rPr>
                <w:rFonts w:hint="default" w:cs="宋体"/>
                <w:color w:val="000000"/>
                <w:sz w:val="18"/>
                <w:szCs w:val="18"/>
              </w:rPr>
            </w:pPr>
            <w:r>
              <w:rPr>
                <w:rFonts w:cs="宋体"/>
                <w:color w:val="000000"/>
                <w:sz w:val="18"/>
                <w:szCs w:val="18"/>
              </w:rPr>
              <w:t>住房公积金</w:t>
            </w:r>
          </w:p>
        </w:tc>
        <w:tc>
          <w:tcPr>
            <w:tcW w:w="13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18.65</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18.65</w:t>
            </w:r>
            <w:r>
              <w:rPr>
                <w:rFonts w:ascii="Times New Roman" w:hAnsi="Times New Roman"/>
                <w:color w:val="000000"/>
                <w:sz w:val="18"/>
                <w:szCs w:val="18"/>
                <w:u w:color="auto"/>
              </w:rPr>
              <w:t xml:space="preserve"> </w:t>
            </w:r>
          </w:p>
        </w:tc>
        <w:tc>
          <w:tcPr>
            <w:tcW w:w="16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5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19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6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1"/>
        <w:tblW w:w="14560" w:type="dxa"/>
        <w:tblInd w:w="0" w:type="dxa"/>
        <w:tblLayout w:type="fixed"/>
        <w:tblCellMar>
          <w:top w:w="0" w:type="dxa"/>
          <w:left w:w="0" w:type="dxa"/>
          <w:bottom w:w="0" w:type="dxa"/>
          <w:right w:w="0" w:type="dxa"/>
        </w:tblCellMar>
      </w:tblPr>
      <w:tblGrid>
        <w:gridCol w:w="2939"/>
        <w:gridCol w:w="1509"/>
        <w:gridCol w:w="3155"/>
        <w:gridCol w:w="1678"/>
        <w:gridCol w:w="1678"/>
        <w:gridCol w:w="1678"/>
        <w:gridCol w:w="1923"/>
      </w:tblGrid>
      <w:tr>
        <w:tblPrEx>
          <w:tblLayout w:type="fixed"/>
          <w:tblCellMar>
            <w:top w:w="0" w:type="dxa"/>
            <w:left w:w="0" w:type="dxa"/>
            <w:bottom w:w="0" w:type="dxa"/>
            <w:right w:w="0" w:type="dxa"/>
          </w:tblCellMar>
        </w:tblPrEx>
        <w:trPr>
          <w:trHeight w:val="367" w:hRule="atLeast"/>
        </w:trPr>
        <w:tc>
          <w:tcPr>
            <w:tcW w:w="14560" w:type="dxa"/>
            <w:gridSpan w:val="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cs="宋体"/>
                <w:b/>
                <w:color w:val="000000"/>
                <w:sz w:val="20"/>
                <w:szCs w:val="20"/>
              </w:rPr>
            </w:pPr>
            <w:r>
              <w:rPr>
                <w:rFonts w:cs="宋体"/>
                <w:sz w:val="28"/>
                <w:szCs w:val="28"/>
              </w:rPr>
              <w:br w:type="page"/>
            </w:r>
            <w:r>
              <w:rPr>
                <w:rFonts w:cs="宋体"/>
                <w:b/>
                <w:color w:val="000000"/>
                <w:sz w:val="28"/>
                <w:szCs w:val="28"/>
              </w:rPr>
              <w:t>财政拨款收入支出决算总表</w:t>
            </w:r>
          </w:p>
        </w:tc>
      </w:tr>
      <w:tr>
        <w:tblPrEx>
          <w:tblLayout w:type="fixed"/>
          <w:tblCellMar>
            <w:top w:w="0" w:type="dxa"/>
            <w:left w:w="0" w:type="dxa"/>
            <w:bottom w:w="0" w:type="dxa"/>
            <w:right w:w="0" w:type="dxa"/>
          </w:tblCellMar>
        </w:tblPrEx>
        <w:trPr>
          <w:trHeight w:val="235" w:hRule="atLeast"/>
        </w:trPr>
        <w:tc>
          <w:tcPr>
            <w:tcW w:w="7603"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20"/>
                <w:szCs w:val="20"/>
              </w:rPr>
            </w:pPr>
            <w:r>
              <w:rPr>
                <w:rFonts w:cs="宋体"/>
                <w:sz w:val="20"/>
                <w:szCs w:val="20"/>
              </w:rPr>
              <w:t>单位</w:t>
            </w:r>
            <w:r>
              <w:rPr>
                <w:rFonts w:cs="宋体"/>
                <w:color w:val="000000"/>
                <w:sz w:val="20"/>
                <w:szCs w:val="20"/>
              </w:rPr>
              <w:t>：</w:t>
            </w:r>
            <w:r>
              <w:rPr>
                <w:color w:val="000000"/>
                <w:sz w:val="20"/>
                <w:szCs w:val="20"/>
                <w:u w:color="auto"/>
              </w:rPr>
              <w:t>秀山土家族苗族自治县平凯街道社区卫生服务中心</w:t>
            </w:r>
          </w:p>
        </w:tc>
        <w:tc>
          <w:tcPr>
            <w:tcW w:w="167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20"/>
                <w:szCs w:val="20"/>
              </w:rPr>
            </w:pPr>
          </w:p>
        </w:tc>
        <w:tc>
          <w:tcPr>
            <w:tcW w:w="167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20"/>
                <w:szCs w:val="20"/>
              </w:rPr>
            </w:pPr>
          </w:p>
        </w:tc>
        <w:tc>
          <w:tcPr>
            <w:tcW w:w="167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20"/>
                <w:szCs w:val="20"/>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268" w:hRule="atLeast"/>
        </w:trPr>
        <w:tc>
          <w:tcPr>
            <w:tcW w:w="7603"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20"/>
                <w:szCs w:val="20"/>
              </w:rPr>
            </w:pPr>
          </w:p>
        </w:tc>
        <w:tc>
          <w:tcPr>
            <w:tcW w:w="167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20"/>
                <w:szCs w:val="20"/>
              </w:rPr>
            </w:pPr>
          </w:p>
        </w:tc>
        <w:tc>
          <w:tcPr>
            <w:tcW w:w="167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20"/>
                <w:szCs w:val="20"/>
              </w:rPr>
            </w:pPr>
          </w:p>
        </w:tc>
        <w:tc>
          <w:tcPr>
            <w:tcW w:w="1678"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20"/>
                <w:szCs w:val="20"/>
              </w:rPr>
            </w:pPr>
          </w:p>
        </w:tc>
        <w:tc>
          <w:tcPr>
            <w:tcW w:w="1923"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27" w:hRule="atLeast"/>
        </w:trPr>
        <w:tc>
          <w:tcPr>
            <w:tcW w:w="44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收     入</w:t>
            </w:r>
          </w:p>
        </w:tc>
        <w:tc>
          <w:tcPr>
            <w:tcW w:w="1011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支     出</w:t>
            </w:r>
          </w:p>
        </w:tc>
      </w:tr>
      <w:tr>
        <w:tblPrEx>
          <w:tblLayout w:type="fixed"/>
          <w:tblCellMar>
            <w:top w:w="0" w:type="dxa"/>
            <w:left w:w="0" w:type="dxa"/>
            <w:bottom w:w="0" w:type="dxa"/>
            <w:right w:w="0" w:type="dxa"/>
          </w:tblCellMar>
        </w:tblPrEx>
        <w:trPr>
          <w:trHeight w:val="227" w:hRule="atLeast"/>
        </w:trPr>
        <w:tc>
          <w:tcPr>
            <w:tcW w:w="2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项目</w:t>
            </w:r>
          </w:p>
        </w:tc>
        <w:tc>
          <w:tcPr>
            <w:tcW w:w="15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决算数</w:t>
            </w:r>
          </w:p>
        </w:tc>
        <w:tc>
          <w:tcPr>
            <w:tcW w:w="315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功能分类科目</w:t>
            </w:r>
          </w:p>
        </w:tc>
        <w:tc>
          <w:tcPr>
            <w:tcW w:w="6957"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391" w:hRule="atLeast"/>
        </w:trPr>
        <w:tc>
          <w:tcPr>
            <w:tcW w:w="2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20"/>
                <w:szCs w:val="20"/>
              </w:rPr>
            </w:pPr>
          </w:p>
        </w:tc>
        <w:tc>
          <w:tcPr>
            <w:tcW w:w="15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20"/>
                <w:szCs w:val="20"/>
              </w:rPr>
            </w:pPr>
          </w:p>
        </w:tc>
        <w:tc>
          <w:tcPr>
            <w:tcW w:w="315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小计</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一般公共预算财政拨款</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政府性基金预算财政拨款</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国有资本经营预算财政拨款</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一、一般公共预算财政拨款</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560.14</w:t>
            </w: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一、一般公共服务支出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二、政府性基金预算财政拨款</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二、外交支出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三、国有资本经营预算财政拨款</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三、国防支出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四、公共安全支出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五、教育支出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六、科学技术支出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100.49</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100.49</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九、卫生健康支出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436.07</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436.07</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十、节能环保支出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十一、城乡社区支出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十二、农林水支出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36.75</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36.75</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十三、交通运输支出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十六、金融支出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十九、住房保障支出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18.65</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18.65</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二十三、其他支出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二十四、债务还本支出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二十五、债务付息支出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20"/>
                <w:szCs w:val="20"/>
              </w:rPr>
            </w:pP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560.14</w:t>
            </w: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591.95</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591.95</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年初财政拨款结转和结余</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31.82</w:t>
            </w: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年末财政拨款结转和结余</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 xml:space="preserve">  一般公共预算财政拨款</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31.82</w:t>
            </w: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 xml:space="preserve">  政府性基金预算财政拨款</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27"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20"/>
                <w:szCs w:val="20"/>
              </w:rPr>
            </w:pPr>
            <w:r>
              <w:rPr>
                <w:rFonts w:cs="宋体"/>
                <w:b/>
                <w:bCs/>
                <w:color w:val="000000"/>
                <w:sz w:val="20"/>
                <w:szCs w:val="20"/>
              </w:rPr>
              <w:t xml:space="preserve">  国有资本经营预算财政拨款</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51" w:hRule="atLeast"/>
        </w:trPr>
        <w:tc>
          <w:tcPr>
            <w:tcW w:w="2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总计</w:t>
            </w:r>
          </w:p>
        </w:tc>
        <w:tc>
          <w:tcPr>
            <w:tcW w:w="15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591.95</w:t>
            </w:r>
            <w:r>
              <w:rPr>
                <w:rFonts w:ascii="Times New Roman" w:hAnsi="Times New Roman"/>
                <w:color w:val="000000"/>
                <w:sz w:val="20"/>
                <w:szCs w:val="20"/>
                <w:u w:color="auto"/>
              </w:rPr>
              <w:t xml:space="preserve"> </w:t>
            </w:r>
          </w:p>
        </w:tc>
        <w:tc>
          <w:tcPr>
            <w:tcW w:w="3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20"/>
                <w:szCs w:val="20"/>
              </w:rPr>
            </w:pPr>
            <w:r>
              <w:rPr>
                <w:rFonts w:cs="宋体"/>
                <w:b/>
                <w:color w:val="000000"/>
                <w:sz w:val="20"/>
                <w:szCs w:val="20"/>
              </w:rPr>
              <w:t>总计</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591.95</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591.95</w:t>
            </w:r>
            <w:r>
              <w:rPr>
                <w:rFonts w:ascii="Times New Roman" w:hAnsi="Times New Roman"/>
                <w:color w:val="000000"/>
                <w:sz w:val="20"/>
                <w:szCs w:val="20"/>
                <w:u w:color="auto"/>
              </w:rPr>
              <w:t xml:space="preserve"> </w:t>
            </w:r>
          </w:p>
        </w:tc>
        <w:tc>
          <w:tcPr>
            <w:tcW w:w="1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c>
          <w:tcPr>
            <w:tcW w:w="19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szCs w:val="20"/>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140" w:type="dxa"/>
        <w:tblInd w:w="0" w:type="dxa"/>
        <w:tblLayout w:type="fixed"/>
        <w:tblCellMar>
          <w:top w:w="0" w:type="dxa"/>
          <w:left w:w="0" w:type="dxa"/>
          <w:bottom w:w="0" w:type="dxa"/>
          <w:right w:w="0" w:type="dxa"/>
        </w:tblCellMar>
      </w:tblPr>
      <w:tblGrid>
        <w:gridCol w:w="1550"/>
        <w:gridCol w:w="3763"/>
        <w:gridCol w:w="3267"/>
        <w:gridCol w:w="3259"/>
        <w:gridCol w:w="3301"/>
      </w:tblGrid>
      <w:tr>
        <w:tblPrEx>
          <w:tblLayout w:type="fixed"/>
          <w:tblCellMar>
            <w:top w:w="0" w:type="dxa"/>
            <w:left w:w="0" w:type="dxa"/>
            <w:bottom w:w="0" w:type="dxa"/>
            <w:right w:w="0" w:type="dxa"/>
          </w:tblCellMar>
        </w:tblPrEx>
        <w:trPr>
          <w:trHeight w:val="90" w:hRule="atLeast"/>
        </w:trPr>
        <w:tc>
          <w:tcPr>
            <w:tcW w:w="15140"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18"/>
                <w:szCs w:val="18"/>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90" w:hRule="atLeast"/>
        </w:trPr>
        <w:tc>
          <w:tcPr>
            <w:tcW w:w="858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18"/>
                <w:szCs w:val="18"/>
              </w:rPr>
            </w:pPr>
            <w:r>
              <w:rPr>
                <w:rFonts w:cs="宋体"/>
                <w:sz w:val="18"/>
                <w:szCs w:val="18"/>
              </w:rPr>
              <w:t>单位</w:t>
            </w:r>
            <w:r>
              <w:rPr>
                <w:rFonts w:cs="宋体"/>
                <w:color w:val="000000"/>
                <w:sz w:val="18"/>
                <w:szCs w:val="18"/>
              </w:rPr>
              <w:t>：</w:t>
            </w:r>
            <w:r>
              <w:rPr>
                <w:color w:val="000000"/>
                <w:sz w:val="18"/>
                <w:szCs w:val="18"/>
                <w:u w:color="auto"/>
              </w:rPr>
              <w:t>秀山土家族苗族自治县平凯街道社区卫生服务中心</w:t>
            </w:r>
          </w:p>
        </w:tc>
        <w:tc>
          <w:tcPr>
            <w:tcW w:w="3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18"/>
                <w:szCs w:val="18"/>
              </w:rPr>
            </w:pPr>
          </w:p>
        </w:tc>
        <w:tc>
          <w:tcPr>
            <w:tcW w:w="33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18"/>
                <w:szCs w:val="18"/>
              </w:rPr>
            </w:pPr>
            <w:r>
              <w:rPr>
                <w:rFonts w:cs="宋体"/>
                <w:color w:val="000000"/>
                <w:sz w:val="18"/>
                <w:szCs w:val="18"/>
              </w:rPr>
              <w:t>公开</w:t>
            </w:r>
            <w:r>
              <w:rPr>
                <w:rFonts w:hint="default" w:ascii="Times New Roman" w:hAnsi="Times New Roman" w:cs="Times New Roman"/>
                <w:color w:val="000000"/>
                <w:sz w:val="18"/>
                <w:szCs w:val="18"/>
              </w:rPr>
              <w:t>05</w:t>
            </w:r>
            <w:r>
              <w:rPr>
                <w:rFonts w:cs="宋体"/>
                <w:color w:val="000000"/>
                <w:sz w:val="18"/>
                <w:szCs w:val="18"/>
              </w:rPr>
              <w:t>表</w:t>
            </w:r>
          </w:p>
        </w:tc>
      </w:tr>
      <w:tr>
        <w:tblPrEx>
          <w:tblLayout w:type="fixed"/>
          <w:tblCellMar>
            <w:top w:w="0" w:type="dxa"/>
            <w:left w:w="0" w:type="dxa"/>
            <w:bottom w:w="0" w:type="dxa"/>
            <w:right w:w="0" w:type="dxa"/>
          </w:tblCellMar>
        </w:tblPrEx>
        <w:trPr>
          <w:trHeight w:val="90" w:hRule="atLeast"/>
        </w:trPr>
        <w:tc>
          <w:tcPr>
            <w:tcW w:w="858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18"/>
                <w:szCs w:val="18"/>
              </w:rPr>
            </w:pPr>
          </w:p>
        </w:tc>
        <w:tc>
          <w:tcPr>
            <w:tcW w:w="3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18"/>
                <w:szCs w:val="18"/>
              </w:rPr>
            </w:pPr>
          </w:p>
        </w:tc>
        <w:tc>
          <w:tcPr>
            <w:tcW w:w="33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18"/>
                <w:szCs w:val="18"/>
              </w:rPr>
            </w:pPr>
            <w:r>
              <w:rPr>
                <w:rFonts w:cs="宋体"/>
                <w:color w:val="000000"/>
                <w:sz w:val="18"/>
                <w:szCs w:val="18"/>
              </w:rPr>
              <w:t>单位：</w:t>
            </w:r>
            <w:r>
              <w:rPr>
                <w:rFonts w:cs="宋体"/>
                <w:sz w:val="18"/>
                <w:szCs w:val="18"/>
              </w:rPr>
              <w:t>万元</w:t>
            </w:r>
          </w:p>
        </w:tc>
      </w:tr>
      <w:tr>
        <w:tblPrEx>
          <w:tblLayout w:type="fixed"/>
          <w:tblCellMar>
            <w:top w:w="0" w:type="dxa"/>
            <w:left w:w="0" w:type="dxa"/>
            <w:bottom w:w="0" w:type="dxa"/>
            <w:right w:w="0" w:type="dxa"/>
          </w:tblCellMar>
        </w:tblPrEx>
        <w:trPr>
          <w:trHeight w:val="90" w:hRule="atLeast"/>
        </w:trPr>
        <w:tc>
          <w:tcPr>
            <w:tcW w:w="531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18"/>
                <w:szCs w:val="18"/>
              </w:rPr>
            </w:pPr>
            <w:r>
              <w:rPr>
                <w:rFonts w:cs="宋体"/>
                <w:b/>
                <w:color w:val="000000"/>
                <w:sz w:val="18"/>
                <w:szCs w:val="18"/>
              </w:rPr>
              <w:t>项目</w:t>
            </w:r>
          </w:p>
        </w:tc>
        <w:tc>
          <w:tcPr>
            <w:tcW w:w="982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18"/>
                <w:szCs w:val="18"/>
              </w:rPr>
            </w:pPr>
            <w:r>
              <w:rPr>
                <w:rFonts w:cs="宋体"/>
                <w:b/>
                <w:color w:val="000000"/>
                <w:sz w:val="18"/>
                <w:szCs w:val="18"/>
              </w:rPr>
              <w:t>本年支出</w:t>
            </w:r>
          </w:p>
        </w:tc>
      </w:tr>
      <w:tr>
        <w:tblPrEx>
          <w:tblLayout w:type="fixed"/>
          <w:tblCellMar>
            <w:top w:w="0" w:type="dxa"/>
            <w:left w:w="0" w:type="dxa"/>
            <w:bottom w:w="0" w:type="dxa"/>
            <w:right w:w="0" w:type="dxa"/>
          </w:tblCellMar>
        </w:tblPrEx>
        <w:trPr>
          <w:trHeight w:val="312" w:hRule="atLeast"/>
        </w:trPr>
        <w:tc>
          <w:tcPr>
            <w:tcW w:w="155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18"/>
                <w:szCs w:val="18"/>
              </w:rPr>
            </w:pPr>
            <w:r>
              <w:rPr>
                <w:rFonts w:cs="宋体"/>
                <w:b/>
                <w:color w:val="000000"/>
                <w:sz w:val="18"/>
                <w:szCs w:val="18"/>
              </w:rPr>
              <w:t>功能分类科目编码</w:t>
            </w:r>
          </w:p>
        </w:tc>
        <w:tc>
          <w:tcPr>
            <w:tcW w:w="37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18"/>
                <w:szCs w:val="18"/>
              </w:rPr>
            </w:pPr>
            <w:r>
              <w:rPr>
                <w:rFonts w:cs="宋体"/>
                <w:b/>
                <w:color w:val="000000"/>
                <w:sz w:val="18"/>
                <w:szCs w:val="18"/>
              </w:rPr>
              <w:t>项目（按“项”级功能分类科目）</w:t>
            </w:r>
          </w:p>
        </w:tc>
        <w:tc>
          <w:tcPr>
            <w:tcW w:w="326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18"/>
                <w:szCs w:val="18"/>
              </w:rPr>
            </w:pPr>
            <w:r>
              <w:rPr>
                <w:rFonts w:cs="宋体"/>
                <w:b/>
                <w:color w:val="000000"/>
                <w:sz w:val="18"/>
                <w:szCs w:val="18"/>
              </w:rPr>
              <w:t>合计</w:t>
            </w:r>
          </w:p>
        </w:tc>
        <w:tc>
          <w:tcPr>
            <w:tcW w:w="325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18"/>
                <w:szCs w:val="18"/>
              </w:rPr>
            </w:pPr>
            <w:r>
              <w:rPr>
                <w:rFonts w:cs="宋体"/>
                <w:b/>
                <w:color w:val="000000"/>
                <w:sz w:val="18"/>
                <w:szCs w:val="18"/>
              </w:rPr>
              <w:t>基本支出</w:t>
            </w:r>
          </w:p>
        </w:tc>
        <w:tc>
          <w:tcPr>
            <w:tcW w:w="33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18"/>
                <w:szCs w:val="18"/>
              </w:rPr>
            </w:pPr>
            <w:r>
              <w:rPr>
                <w:rFonts w:cs="宋体"/>
                <w:b/>
                <w:color w:val="000000"/>
                <w:sz w:val="18"/>
                <w:szCs w:val="18"/>
              </w:rPr>
              <w:t>项目支出</w:t>
            </w:r>
          </w:p>
        </w:tc>
      </w:tr>
      <w:tr>
        <w:tblPrEx>
          <w:tblLayout w:type="fixed"/>
          <w:tblCellMar>
            <w:top w:w="0" w:type="dxa"/>
            <w:left w:w="0" w:type="dxa"/>
            <w:bottom w:w="0" w:type="dxa"/>
            <w:right w:w="0" w:type="dxa"/>
          </w:tblCellMar>
        </w:tblPrEx>
        <w:trPr>
          <w:trHeight w:val="312" w:hRule="atLeast"/>
        </w:trPr>
        <w:tc>
          <w:tcPr>
            <w:tcW w:w="155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c>
          <w:tcPr>
            <w:tcW w:w="37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c>
          <w:tcPr>
            <w:tcW w:w="326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c>
          <w:tcPr>
            <w:tcW w:w="325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c>
          <w:tcPr>
            <w:tcW w:w="33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312" w:hRule="atLeast"/>
        </w:trPr>
        <w:tc>
          <w:tcPr>
            <w:tcW w:w="155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c>
          <w:tcPr>
            <w:tcW w:w="37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c>
          <w:tcPr>
            <w:tcW w:w="326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c>
          <w:tcPr>
            <w:tcW w:w="325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c>
          <w:tcPr>
            <w:tcW w:w="33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531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jc w:val="center"/>
              <w:textAlignment w:val="center"/>
              <w:rPr>
                <w:rFonts w:hint="default" w:cs="宋体"/>
                <w:b/>
                <w:color w:val="000000"/>
                <w:sz w:val="18"/>
                <w:szCs w:val="18"/>
              </w:rPr>
            </w:pPr>
            <w:r>
              <w:rPr>
                <w:rFonts w:cs="宋体"/>
                <w:b/>
                <w:color w:val="000000"/>
                <w:sz w:val="18"/>
                <w:szCs w:val="18"/>
              </w:rPr>
              <w:t>合计</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591.95</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515.27</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bCs/>
                <w:color w:val="000000"/>
                <w:sz w:val="18"/>
                <w:szCs w:val="18"/>
              </w:rPr>
              <w:t>76.68</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208</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社会保障和就业支出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100.49</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100.49</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20805</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行政事业单位养老支出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100.49</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100.49</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2080502</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事业单位离退休</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44.14</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44.14</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2080505</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机关事业单位基本养老保险缴费支出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37.33</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37.33</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2080506</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机关事业单位职业年金缴费支出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19.01</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19.01</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210</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卫生健康支出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436.07</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396.14</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39.93</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21003</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基层医疗卫生机构</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328.00</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302.70</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25.29</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2100301</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城市社区卫生机构</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315.76</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302.70</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13.05</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2100399</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其他基层医疗卫生机构支出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12.24</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12.24</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21004</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公共卫生</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88.19</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73.55</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14.64</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2100408</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基本公共卫生服务</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73.55</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73.55</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2100409</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重大公共卫生服务</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14.08</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14.08</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2100410</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突发公共卫生事件应急处置</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0.56</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0.56</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21011</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行政事业单位医疗</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19.88</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19.88</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2101102</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事业单位医疗</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15.28</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15.28</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2101199</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其他行政事业单位医疗支出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4.61</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4.61</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213</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农林水支出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36.75</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36.75</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21305</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巩固脱贫攻坚成果衔接乡村振兴</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36.75</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36.75</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2130599</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其他巩固脱贫攻坚成果衔接乡村振兴支出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36.75</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36.75</w:t>
            </w:r>
            <w:r>
              <w:rPr>
                <w:rFonts w:ascii="Times New Roman" w:hAnsi="Times New Roman"/>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221</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住房保障支出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18.65</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18.65</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22102</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b/>
                <w:color w:val="000000"/>
                <w:sz w:val="18"/>
                <w:szCs w:val="18"/>
              </w:rPr>
              <w:t>住房改革支出</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18.65</w:t>
            </w:r>
            <w:r>
              <w:rPr>
                <w:rFonts w:ascii="Times New Roman" w:hAnsi="Times New Roman"/>
                <w:b/>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18.65</w:t>
            </w:r>
            <w:r>
              <w:rPr>
                <w:rFonts w:ascii="Times New Roman" w:hAnsi="Times New Roman"/>
                <w:b/>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b/>
                <w:color w:val="000000"/>
                <w:sz w:val="18"/>
                <w:szCs w:val="18"/>
              </w:rPr>
              <w:t>0.00</w:t>
            </w:r>
            <w:r>
              <w:rPr>
                <w:rFonts w:ascii="Times New Roman" w:hAnsi="Times New Roman"/>
                <w:b/>
                <w:color w:val="000000"/>
                <w:sz w:val="18"/>
                <w:szCs w:val="18"/>
                <w:u w:color="auto"/>
              </w:rPr>
              <w:t xml:space="preserve"> </w:t>
            </w:r>
          </w:p>
        </w:tc>
      </w:tr>
      <w:tr>
        <w:tblPrEx>
          <w:tblLayout w:type="fixed"/>
          <w:tblCellMar>
            <w:top w:w="0" w:type="dxa"/>
            <w:left w:w="0" w:type="dxa"/>
            <w:bottom w:w="0" w:type="dxa"/>
            <w:right w:w="0" w:type="dxa"/>
          </w:tblCellMar>
        </w:tblPrEx>
        <w:trPr>
          <w:trHeight w:val="90" w:hRule="atLeast"/>
        </w:trPr>
        <w:tc>
          <w:tcPr>
            <w:tcW w:w="155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2210201</w:t>
            </w:r>
          </w:p>
        </w:tc>
        <w:tc>
          <w:tcPr>
            <w:tcW w:w="37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overflowPunct/>
              <w:topLinePunct w:val="0"/>
              <w:autoSpaceDE/>
              <w:autoSpaceDN/>
              <w:bidi w:val="0"/>
              <w:adjustRightInd/>
              <w:snapToGrid/>
              <w:spacing w:line="280" w:lineRule="exact"/>
              <w:textAlignment w:val="center"/>
              <w:rPr>
                <w:rFonts w:hint="default" w:cs="宋体"/>
                <w:color w:val="000000"/>
                <w:sz w:val="18"/>
                <w:szCs w:val="18"/>
              </w:rPr>
            </w:pPr>
            <w:r>
              <w:rPr>
                <w:rFonts w:cs="宋体"/>
                <w:color w:val="000000"/>
                <w:sz w:val="18"/>
                <w:szCs w:val="18"/>
              </w:rPr>
              <w:t>住房公积金</w:t>
            </w:r>
          </w:p>
        </w:tc>
        <w:tc>
          <w:tcPr>
            <w:tcW w:w="32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18.65</w:t>
            </w:r>
            <w:r>
              <w:rPr>
                <w:rFonts w:ascii="Times New Roman" w:hAnsi="Times New Roman"/>
                <w:color w:val="000000"/>
                <w:sz w:val="18"/>
                <w:szCs w:val="18"/>
                <w:u w:color="auto"/>
              </w:rPr>
              <w:t xml:space="preserve"> </w:t>
            </w:r>
          </w:p>
        </w:tc>
        <w:tc>
          <w:tcPr>
            <w:tcW w:w="3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18.65</w:t>
            </w:r>
            <w:r>
              <w:rPr>
                <w:rFonts w:ascii="Times New Roman" w:hAnsi="Times New Roman"/>
                <w:color w:val="000000"/>
                <w:sz w:val="18"/>
                <w:szCs w:val="18"/>
                <w:u w:color="auto"/>
              </w:rPr>
              <w:t xml:space="preserve"> </w:t>
            </w:r>
          </w:p>
        </w:tc>
        <w:tc>
          <w:tcPr>
            <w:tcW w:w="33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val="0"/>
              <w:overflowPunct/>
              <w:topLinePunct w:val="0"/>
              <w:autoSpaceDE/>
              <w:autoSpaceDN/>
              <w:bidi w:val="0"/>
              <w:adjustRightInd/>
              <w:snapToGrid/>
              <w:spacing w:line="280" w:lineRule="exact"/>
              <w:jc w:val="right"/>
              <w:textAlignment w:val="center"/>
              <w:rPr>
                <w:rFonts w:hint="default" w:ascii="Times New Roman" w:hAnsi="Times New Roman"/>
                <w:b/>
                <w:color w:val="000000"/>
                <w:sz w:val="18"/>
                <w:szCs w:val="18"/>
              </w:rPr>
            </w:pPr>
            <w:r>
              <w:rPr>
                <w:rFonts w:hint="default" w:ascii="Times New Roman" w:hAnsi="Times New Roman"/>
                <w:color w:val="000000"/>
                <w:sz w:val="18"/>
                <w:szCs w:val="18"/>
              </w:rPr>
              <w:t>0.00</w:t>
            </w:r>
            <w:r>
              <w:rPr>
                <w:rFonts w:ascii="Times New Roman" w:hAnsi="Times New Roman"/>
                <w:color w:val="000000"/>
                <w:sz w:val="18"/>
                <w:szCs w:val="18"/>
                <w:u w:color="auto"/>
              </w:rPr>
              <w:t xml:space="preserve"> </w:t>
            </w:r>
          </w:p>
        </w:tc>
      </w:tr>
    </w:tbl>
    <w:p>
      <w:pPr>
        <w:rPr>
          <w:rFonts w:hint="default" w:cs="宋体"/>
          <w:sz w:val="21"/>
          <w:szCs w:val="21"/>
        </w:rPr>
      </w:pPr>
      <w:r>
        <w:rPr>
          <w:rFonts w:cs="宋体"/>
          <w:sz w:val="18"/>
          <w:szCs w:val="18"/>
        </w:rPr>
        <w:t>备注：1.本表反映单位本年度一般公共预算财政拨款支出情况。</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p>
    <w:tbl>
      <w:tblPr>
        <w:tblStyle w:val="11"/>
        <w:tblW w:w="15322" w:type="dxa"/>
        <w:tblInd w:w="0" w:type="dxa"/>
        <w:tblLayout w:type="fixed"/>
        <w:tblCellMar>
          <w:top w:w="0" w:type="dxa"/>
          <w:left w:w="0" w:type="dxa"/>
          <w:bottom w:w="0" w:type="dxa"/>
          <w:right w:w="0" w:type="dxa"/>
        </w:tblCellMar>
      </w:tblPr>
      <w:tblGrid>
        <w:gridCol w:w="603"/>
        <w:gridCol w:w="1032"/>
        <w:gridCol w:w="1698"/>
        <w:gridCol w:w="1371"/>
        <w:gridCol w:w="216"/>
        <w:gridCol w:w="617"/>
        <w:gridCol w:w="1084"/>
        <w:gridCol w:w="832"/>
        <w:gridCol w:w="869"/>
        <w:gridCol w:w="781"/>
        <w:gridCol w:w="805"/>
        <w:gridCol w:w="115"/>
        <w:gridCol w:w="1701"/>
        <w:gridCol w:w="1698"/>
        <w:gridCol w:w="67"/>
        <w:gridCol w:w="1815"/>
        <w:gridCol w:w="18"/>
      </w:tblGrid>
      <w:tr>
        <w:tblPrEx>
          <w:tblLayout w:type="fixed"/>
          <w:tblCellMar>
            <w:top w:w="0" w:type="dxa"/>
            <w:left w:w="0" w:type="dxa"/>
            <w:bottom w:w="0" w:type="dxa"/>
            <w:right w:w="0" w:type="dxa"/>
          </w:tblCellMar>
        </w:tblPrEx>
        <w:trPr>
          <w:gridAfter w:val="1"/>
          <w:wAfter w:w="18" w:type="dxa"/>
          <w:trHeight w:val="90" w:hRule="atLeast"/>
        </w:trPr>
        <w:tc>
          <w:tcPr>
            <w:tcW w:w="15304" w:type="dxa"/>
            <w:gridSpan w:val="16"/>
            <w:tcBorders>
              <w:top w:val="nil"/>
              <w:left w:val="nil"/>
              <w:bottom w:val="nil"/>
              <w:right w:val="nil"/>
            </w:tcBorders>
            <w:shd w:val="clear" w:color="auto" w:fill="auto"/>
            <w:tcMar>
              <w:top w:w="15" w:type="dxa"/>
              <w:left w:w="15" w:type="dxa"/>
              <w:right w:w="15" w:type="dxa"/>
            </w:tcMar>
            <w:vAlign w:val="bottom"/>
          </w:tcPr>
          <w:p>
            <w:pPr>
              <w:ind w:firstLine="630" w:firstLineChars="300"/>
              <w:jc w:val="center"/>
              <w:rPr>
                <w:rFonts w:hint="default" w:cs="宋体"/>
                <w:b/>
                <w:color w:val="000000"/>
                <w:sz w:val="32"/>
                <w:szCs w:val="32"/>
              </w:rPr>
            </w:pPr>
            <w:r>
              <w:rPr>
                <w:rFonts w:cs="宋体"/>
                <w:sz w:val="21"/>
                <w:szCs w:val="21"/>
              </w:rPr>
              <w:br w:type="page"/>
            </w: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gridAfter w:val="1"/>
          <w:wAfter w:w="18" w:type="dxa"/>
          <w:trHeight w:val="90" w:hRule="atLeast"/>
        </w:trPr>
        <w:tc>
          <w:tcPr>
            <w:tcW w:w="7453" w:type="dxa"/>
            <w:gridSpan w:val="8"/>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秀山土家族苗族自治县平凯街道社区卫生服务中心</w:t>
            </w:r>
          </w:p>
        </w:tc>
        <w:tc>
          <w:tcPr>
            <w:tcW w:w="1650"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gridSpan w:val="3"/>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gridAfter w:val="1"/>
          <w:wAfter w:w="18" w:type="dxa"/>
          <w:trHeight w:val="90" w:hRule="atLeast"/>
        </w:trPr>
        <w:tc>
          <w:tcPr>
            <w:tcW w:w="7453" w:type="dxa"/>
            <w:gridSpan w:val="8"/>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gridSpan w:val="3"/>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gridSpan w:val="2"/>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gridAfter w:val="1"/>
          <w:wAfter w:w="18" w:type="dxa"/>
          <w:trHeight w:val="90" w:hRule="atLeast"/>
        </w:trPr>
        <w:tc>
          <w:tcPr>
            <w:tcW w:w="470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1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gridAfter w:val="1"/>
          <w:wAfter w:w="18" w:type="dxa"/>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gridAfter w:val="1"/>
          <w:wAfter w:w="18" w:type="dxa"/>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464.23</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107.75</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15.66</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247.01</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37.33</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19.01</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15.28</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0.46</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18.65</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3.07</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51.04</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44.47</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6.58</w:t>
            </w: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gridAfter w:val="1"/>
          <w:wAfter w:w="18" w:type="dxa"/>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gridAfter w:val="1"/>
          <w:wAfter w:w="18" w:type="dxa"/>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gridAfter w:val="1"/>
          <w:wAfter w:w="18" w:type="dxa"/>
          <w:trHeight w:val="310" w:hRule="atLeast"/>
        </w:trPr>
        <w:tc>
          <w:tcPr>
            <w:tcW w:w="3333"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515.27</w:t>
            </w:r>
            <w:r>
              <w:rPr>
                <w:rFonts w:ascii="Times New Roman" w:hAnsi="Times New Roman"/>
                <w:color w:val="000000"/>
                <w:sz w:val="18"/>
                <w:u w:color="auto"/>
              </w:rPr>
              <w:t xml:space="preserve"> </w:t>
            </w:r>
          </w:p>
        </w:tc>
        <w:tc>
          <w:tcPr>
            <w:tcW w:w="8718" w:type="dxa"/>
            <w:gridSpan w:val="10"/>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644" w:hRule="atLeast"/>
        </w:trPr>
        <w:tc>
          <w:tcPr>
            <w:tcW w:w="15322" w:type="dxa"/>
            <w:gridSpan w:val="17"/>
            <w:tcBorders>
              <w:top w:val="nil"/>
              <w:left w:val="nil"/>
              <w:bottom w:val="nil"/>
              <w:right w:val="nil"/>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40" w:lineRule="auto"/>
              <w:ind w:left="5000" w:hanging="5000" w:hangingChars="2500"/>
              <w:jc w:val="left"/>
              <w:textAlignment w:val="auto"/>
              <w:rPr>
                <w:rFonts w:cs="宋体"/>
                <w:sz w:val="20"/>
                <w:szCs w:val="20"/>
              </w:rPr>
            </w:pPr>
            <w:r>
              <w:rPr>
                <w:rFonts w:cs="宋体"/>
                <w:sz w:val="20"/>
                <w:szCs w:val="20"/>
              </w:rPr>
              <w:t>备注：1.本表反映单位本年度一般公共预算财政拨款基本支出明细情况。</w:t>
            </w:r>
          </w:p>
          <w:p>
            <w:pPr>
              <w:keepNext w:val="0"/>
              <w:keepLines w:val="0"/>
              <w:pageBreakBefore w:val="0"/>
              <w:widowControl/>
              <w:kinsoku/>
              <w:wordWrap/>
              <w:overflowPunct/>
              <w:topLinePunct w:val="0"/>
              <w:autoSpaceDE/>
              <w:autoSpaceDN/>
              <w:bidi w:val="0"/>
              <w:adjustRightInd/>
              <w:snapToGrid/>
              <w:spacing w:line="240" w:lineRule="auto"/>
              <w:ind w:left="4998" w:leftChars="249" w:hanging="4400" w:hangingChars="2200"/>
              <w:jc w:val="left"/>
              <w:textAlignment w:val="auto"/>
              <w:rPr>
                <w:rFonts w:hint="default" w:cs="宋体"/>
                <w:b/>
                <w:color w:val="000000"/>
                <w:sz w:val="32"/>
                <w:szCs w:val="32"/>
              </w:rPr>
            </w:pP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7"/>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秀山土家族苗族自治县平凯街道社区卫生服务中心</w:t>
            </w:r>
          </w:p>
        </w:tc>
        <w:tc>
          <w:tcPr>
            <w:tcW w:w="1701"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gridSpan w:val="2"/>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7"/>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gridSpan w:val="2"/>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gridSpan w:val="2"/>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gridSpan w:val="2"/>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gridSpan w:val="2"/>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gridSpan w:val="2"/>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gridSpan w:val="2"/>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5"/>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秀山土家族苗族自治县平凯街道社区卫生服务中心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5298" w:type="dxa"/>
        <w:tblInd w:w="0" w:type="dxa"/>
        <w:tblLayout w:type="fixed"/>
        <w:tblCellMar>
          <w:top w:w="0" w:type="dxa"/>
          <w:left w:w="170" w:type="dxa"/>
          <w:bottom w:w="0" w:type="dxa"/>
          <w:right w:w="170" w:type="dxa"/>
        </w:tblCellMar>
      </w:tblPr>
      <w:tblGrid>
        <w:gridCol w:w="3448"/>
        <w:gridCol w:w="2535"/>
        <w:gridCol w:w="2370"/>
        <w:gridCol w:w="4125"/>
        <w:gridCol w:w="2820"/>
      </w:tblGrid>
      <w:tr>
        <w:tblPrEx>
          <w:tblLayout w:type="fixed"/>
          <w:tblCellMar>
            <w:top w:w="0" w:type="dxa"/>
            <w:left w:w="170" w:type="dxa"/>
            <w:bottom w:w="0" w:type="dxa"/>
            <w:right w:w="170" w:type="dxa"/>
          </w:tblCellMar>
        </w:tblPrEx>
        <w:trPr>
          <w:trHeight w:val="343" w:hRule="atLeast"/>
        </w:trPr>
        <w:tc>
          <w:tcPr>
            <w:tcW w:w="15298" w:type="dxa"/>
            <w:gridSpan w:val="5"/>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480" w:lineRule="exact"/>
              <w:jc w:val="center"/>
              <w:textAlignment w:val="bottom"/>
              <w:rPr>
                <w:rFonts w:hint="default" w:cs="宋体"/>
                <w:b/>
                <w:color w:val="000000"/>
                <w:kern w:val="2"/>
                <w:sz w:val="18"/>
                <w:szCs w:val="18"/>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448" w:type="dxa"/>
            <w:shd w:val="clear" w:color="auto" w:fill="auto"/>
            <w:tcMar>
              <w:top w:w="15" w:type="dxa"/>
              <w:left w:w="15" w:type="dxa"/>
              <w:right w:w="15" w:type="dxa"/>
            </w:tcMar>
            <w:vAlign w:val="bottom"/>
          </w:tcPr>
          <w:p>
            <w:pPr>
              <w:spacing w:line="280" w:lineRule="exact"/>
              <w:rPr>
                <w:rFonts w:hint="default" w:cs="宋体"/>
                <w:color w:val="000000"/>
                <w:kern w:val="2"/>
                <w:sz w:val="18"/>
                <w:szCs w:val="18"/>
              </w:rPr>
            </w:pPr>
          </w:p>
        </w:tc>
        <w:tc>
          <w:tcPr>
            <w:tcW w:w="2535" w:type="dxa"/>
            <w:shd w:val="clear" w:color="auto" w:fill="auto"/>
            <w:tcMar>
              <w:top w:w="15" w:type="dxa"/>
              <w:left w:w="15" w:type="dxa"/>
              <w:right w:w="15" w:type="dxa"/>
            </w:tcMar>
            <w:vAlign w:val="bottom"/>
          </w:tcPr>
          <w:p>
            <w:pPr>
              <w:spacing w:line="280" w:lineRule="exact"/>
              <w:jc w:val="center"/>
              <w:rPr>
                <w:rFonts w:hint="default" w:cs="宋体"/>
                <w:color w:val="000000"/>
                <w:kern w:val="2"/>
                <w:sz w:val="18"/>
                <w:szCs w:val="18"/>
              </w:rPr>
            </w:pPr>
          </w:p>
        </w:tc>
        <w:tc>
          <w:tcPr>
            <w:tcW w:w="2370" w:type="dxa"/>
            <w:shd w:val="clear" w:color="auto" w:fill="auto"/>
            <w:tcMar>
              <w:top w:w="15" w:type="dxa"/>
              <w:left w:w="15" w:type="dxa"/>
              <w:right w:w="15" w:type="dxa"/>
            </w:tcMar>
            <w:vAlign w:val="bottom"/>
          </w:tcPr>
          <w:p>
            <w:pPr>
              <w:spacing w:line="280" w:lineRule="exact"/>
              <w:jc w:val="right"/>
              <w:rPr>
                <w:rFonts w:hint="default" w:cs="宋体"/>
                <w:color w:val="000000"/>
                <w:kern w:val="2"/>
                <w:sz w:val="18"/>
                <w:szCs w:val="18"/>
              </w:rPr>
            </w:pPr>
          </w:p>
        </w:tc>
        <w:tc>
          <w:tcPr>
            <w:tcW w:w="4125" w:type="dxa"/>
            <w:shd w:val="clear" w:color="auto" w:fill="auto"/>
            <w:tcMar>
              <w:top w:w="15" w:type="dxa"/>
              <w:left w:w="15" w:type="dxa"/>
              <w:right w:w="15" w:type="dxa"/>
            </w:tcMar>
            <w:vAlign w:val="bottom"/>
          </w:tcPr>
          <w:p>
            <w:pPr>
              <w:spacing w:line="280" w:lineRule="exact"/>
              <w:rPr>
                <w:rFonts w:hint="default" w:cs="宋体"/>
                <w:color w:val="000000"/>
                <w:kern w:val="2"/>
                <w:sz w:val="18"/>
                <w:szCs w:val="18"/>
              </w:rPr>
            </w:pPr>
          </w:p>
        </w:tc>
        <w:tc>
          <w:tcPr>
            <w:tcW w:w="2820"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18"/>
                <w:szCs w:val="18"/>
              </w:rPr>
            </w:pPr>
            <w:r>
              <w:rPr>
                <w:rFonts w:cs="宋体"/>
                <w:color w:val="000000"/>
                <w:kern w:val="2"/>
                <w:sz w:val="18"/>
                <w:szCs w:val="18"/>
              </w:rPr>
              <w:t>公开</w:t>
            </w:r>
            <w:r>
              <w:rPr>
                <w:rFonts w:hint="default" w:ascii="Times New Roman" w:hAnsi="Times New Roman"/>
                <w:color w:val="000000"/>
                <w:kern w:val="2"/>
                <w:sz w:val="18"/>
                <w:szCs w:val="18"/>
              </w:rPr>
              <w:t>09</w:t>
            </w:r>
            <w:r>
              <w:rPr>
                <w:rFonts w:cs="宋体"/>
                <w:color w:val="000000"/>
                <w:kern w:val="2"/>
                <w:sz w:val="18"/>
                <w:szCs w:val="18"/>
              </w:rPr>
              <w:t>表</w:t>
            </w:r>
          </w:p>
        </w:tc>
      </w:tr>
      <w:tr>
        <w:tblPrEx>
          <w:tblLayout w:type="fixed"/>
          <w:tblCellMar>
            <w:top w:w="0" w:type="dxa"/>
            <w:left w:w="170" w:type="dxa"/>
            <w:bottom w:w="0" w:type="dxa"/>
            <w:right w:w="170" w:type="dxa"/>
          </w:tblCellMar>
        </w:tblPrEx>
        <w:trPr>
          <w:trHeight w:val="244" w:hRule="atLeast"/>
        </w:trPr>
        <w:tc>
          <w:tcPr>
            <w:tcW w:w="5983"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18"/>
                <w:szCs w:val="18"/>
              </w:rPr>
            </w:pPr>
            <w:r>
              <w:rPr>
                <w:rFonts w:hint="eastAsia" w:cs="宋体"/>
                <w:kern w:val="2"/>
                <w:sz w:val="18"/>
                <w:szCs w:val="18"/>
                <w:lang w:eastAsia="zh-CN"/>
              </w:rPr>
              <w:t>单位</w:t>
            </w:r>
            <w:r>
              <w:rPr>
                <w:rFonts w:cs="宋体"/>
                <w:color w:val="000000"/>
                <w:kern w:val="2"/>
                <w:sz w:val="18"/>
                <w:szCs w:val="18"/>
              </w:rPr>
              <w:t>：</w:t>
            </w:r>
            <w:r>
              <w:rPr>
                <w:color w:val="000000"/>
                <w:sz w:val="18"/>
                <w:szCs w:val="18"/>
                <w:u w:color="auto"/>
              </w:rPr>
              <w:t>秀山土家族苗族自治县平凯街道社区卫生服务中心</w:t>
            </w:r>
          </w:p>
        </w:tc>
        <w:tc>
          <w:tcPr>
            <w:tcW w:w="237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18"/>
                <w:szCs w:val="18"/>
              </w:rPr>
            </w:pPr>
          </w:p>
        </w:tc>
        <w:tc>
          <w:tcPr>
            <w:tcW w:w="412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18"/>
                <w:szCs w:val="18"/>
              </w:rPr>
            </w:pPr>
          </w:p>
        </w:tc>
        <w:tc>
          <w:tcPr>
            <w:tcW w:w="2820"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18"/>
                <w:szCs w:val="18"/>
              </w:rPr>
            </w:pPr>
            <w:r>
              <w:rPr>
                <w:rFonts w:cs="宋体"/>
                <w:color w:val="000000"/>
                <w:kern w:val="2"/>
                <w:sz w:val="18"/>
                <w:szCs w:val="18"/>
              </w:rPr>
              <w:t>单位：</w:t>
            </w:r>
            <w:r>
              <w:rPr>
                <w:rFonts w:cs="宋体"/>
                <w:kern w:val="2"/>
                <w:sz w:val="18"/>
                <w:szCs w:val="18"/>
              </w:rPr>
              <w:t>万元</w:t>
            </w:r>
          </w:p>
        </w:tc>
      </w:tr>
      <w:tr>
        <w:tblPrEx>
          <w:tblLayout w:type="fixed"/>
          <w:tblCellMar>
            <w:top w:w="0" w:type="dxa"/>
            <w:left w:w="170" w:type="dxa"/>
            <w:bottom w:w="0" w:type="dxa"/>
            <w:right w:w="170" w:type="dxa"/>
          </w:tblCellMar>
        </w:tblPrEx>
        <w:trPr>
          <w:trHeight w:val="28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8"/>
                <w:szCs w:val="18"/>
              </w:rPr>
            </w:pPr>
            <w:r>
              <w:rPr>
                <w:rFonts w:cs="宋体"/>
                <w:b/>
                <w:color w:val="000000"/>
                <w:kern w:val="2"/>
                <w:sz w:val="18"/>
                <w:szCs w:val="18"/>
              </w:rPr>
              <w:t>项  目</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8"/>
                <w:szCs w:val="18"/>
              </w:rPr>
            </w:pPr>
            <w:r>
              <w:rPr>
                <w:rFonts w:cs="宋体"/>
                <w:b/>
                <w:color w:val="000000"/>
                <w:kern w:val="2"/>
                <w:sz w:val="18"/>
                <w:szCs w:val="18"/>
              </w:rPr>
              <w:t>预算数</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8"/>
                <w:szCs w:val="18"/>
              </w:rPr>
            </w:pPr>
            <w:r>
              <w:rPr>
                <w:rFonts w:cs="宋体"/>
                <w:b/>
                <w:color w:val="000000"/>
                <w:kern w:val="2"/>
                <w:sz w:val="18"/>
                <w:szCs w:val="18"/>
              </w:rPr>
              <w:t>决算数</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8"/>
                <w:szCs w:val="18"/>
              </w:rPr>
            </w:pPr>
            <w:r>
              <w:rPr>
                <w:rFonts w:cs="宋体"/>
                <w:b/>
                <w:color w:val="000000"/>
                <w:kern w:val="2"/>
                <w:sz w:val="18"/>
                <w:szCs w:val="18"/>
              </w:rPr>
              <w:t>项  目</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8"/>
                <w:szCs w:val="18"/>
              </w:rPr>
            </w:pPr>
            <w:r>
              <w:rPr>
                <w:rFonts w:cs="宋体"/>
                <w:b/>
                <w:color w:val="000000"/>
                <w:kern w:val="2"/>
                <w:sz w:val="18"/>
                <w:szCs w:val="18"/>
              </w:rPr>
              <w:t>决算数</w:t>
            </w:r>
          </w:p>
        </w:tc>
      </w:tr>
      <w:tr>
        <w:tblPrEx>
          <w:tblLayout w:type="fixed"/>
          <w:tblCellMar>
            <w:top w:w="0" w:type="dxa"/>
            <w:left w:w="170" w:type="dxa"/>
            <w:bottom w:w="0" w:type="dxa"/>
            <w:right w:w="170" w:type="dxa"/>
          </w:tblCellMar>
        </w:tblPrEx>
        <w:trPr>
          <w:trHeight w:val="28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8"/>
                <w:szCs w:val="18"/>
              </w:rPr>
            </w:pPr>
            <w:r>
              <w:rPr>
                <w:rFonts w:cs="宋体"/>
                <w:b/>
                <w:color w:val="000000"/>
                <w:kern w:val="2"/>
                <w:sz w:val="18"/>
                <w:szCs w:val="18"/>
              </w:rPr>
              <w:t>一、“三公”经费支出</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8"/>
                <w:szCs w:val="18"/>
              </w:rPr>
            </w:pPr>
            <w:r>
              <w:rPr>
                <w:rFonts w:cs="宋体"/>
                <w:b/>
                <w:color w:val="000000"/>
                <w:kern w:val="2"/>
                <w:sz w:val="18"/>
                <w:szCs w:val="18"/>
              </w:rPr>
              <w:t>五、机关运行经费</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（一）支出合计</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（一）行政单位</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1．因公出国（境）费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（二）参照公务员法管理事业单位</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2．公务用车购置及运行维护费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六、资产信息</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（1）公务用车购置费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（一）车辆数合计（辆）</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（2）公务用车运行维护费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1．副部（省）级及以上领导用车</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3．公务接待费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2．主要领导干部用车</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（1）国内接待费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3．机要通信用车</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其中：外事接待费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4．应急保障用车</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（2）国（境）外接待费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5．执法执勤用车</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（二）相关统计数</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6．特种专业技术用车</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w:t>
            </w: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1．因公出国（境）团组数（个）</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7．离退休干部用车</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2．因公出国（境）人次数（人）</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8．其他用车</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3．公务用车购置数（辆）</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（二）单价100万元（含）以上设备（不含车辆）</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4．公务用车保有量（辆）</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七、政府采购支出信息</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5．国内公务接待批次（个）</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（一）政府采购支出合计</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324.68</w:t>
            </w: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其中：外事接待批次（个）</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1．政府采购货物支出</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324.68</w:t>
            </w: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6．国内公务接待人次（人）</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2．政府采购工程支出</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其中：外事接待人次（人）</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3．政府采购服务支出</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7．国（境）外公务接待批次（个）</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（二）政府采购授予中小企业合同金额</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324.68</w:t>
            </w: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92"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8．国（境）外公务接待人次（人）</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8"/>
                <w:szCs w:val="18"/>
              </w:rPr>
            </w:pPr>
            <w:r>
              <w:rPr>
                <w:rFonts w:cs="宋体"/>
                <w:b/>
                <w:bCs/>
                <w:color w:val="000000"/>
                <w:kern w:val="2"/>
                <w:sz w:val="18"/>
                <w:szCs w:val="18"/>
              </w:rPr>
              <w:t xml:space="preserve">        其中：授予小微企业合同金额</w:t>
            </w: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324.68</w:t>
            </w:r>
            <w:r>
              <w:rPr>
                <w:rFonts w:ascii="Times New Roman" w:hAnsi="Times New Roman"/>
                <w:color w:val="000000"/>
                <w:sz w:val="18"/>
                <w:szCs w:val="18"/>
                <w:u w:color="auto"/>
              </w:rPr>
              <w:t xml:space="preserve"> </w:t>
            </w:r>
          </w:p>
        </w:tc>
      </w:tr>
      <w:tr>
        <w:tblPrEx>
          <w:tblLayout w:type="fixed"/>
          <w:tblCellMar>
            <w:top w:w="0" w:type="dxa"/>
            <w:left w:w="170" w:type="dxa"/>
            <w:bottom w:w="0" w:type="dxa"/>
            <w:right w:w="170" w:type="dxa"/>
          </w:tblCellMar>
        </w:tblPrEx>
        <w:trPr>
          <w:trHeight w:val="286"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8"/>
                <w:szCs w:val="18"/>
              </w:rPr>
            </w:pPr>
            <w:r>
              <w:rPr>
                <w:rFonts w:cs="宋体"/>
                <w:b/>
                <w:color w:val="000000"/>
                <w:kern w:val="2"/>
                <w:sz w:val="18"/>
                <w:szCs w:val="18"/>
              </w:rPr>
              <w:t>二、会议费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8"/>
                <w:szCs w:val="18"/>
              </w:rPr>
            </w:pP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8"/>
                <w:szCs w:val="18"/>
              </w:rPr>
            </w:pPr>
          </w:p>
        </w:tc>
      </w:tr>
      <w:tr>
        <w:tblPrEx>
          <w:tblLayout w:type="fixed"/>
          <w:tblCellMar>
            <w:top w:w="0" w:type="dxa"/>
            <w:left w:w="170" w:type="dxa"/>
            <w:bottom w:w="0" w:type="dxa"/>
            <w:right w:w="170" w:type="dxa"/>
          </w:tblCellMar>
        </w:tblPrEx>
        <w:trPr>
          <w:trHeight w:val="389"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8"/>
                <w:szCs w:val="18"/>
              </w:rPr>
            </w:pPr>
            <w:r>
              <w:rPr>
                <w:rFonts w:cs="宋体"/>
                <w:b/>
                <w:color w:val="000000"/>
                <w:kern w:val="2"/>
                <w:sz w:val="18"/>
                <w:szCs w:val="18"/>
              </w:rPr>
              <w:t>三、培训费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8"/>
                <w:szCs w:val="18"/>
              </w:rPr>
            </w:pP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8"/>
                <w:szCs w:val="18"/>
              </w:rPr>
            </w:pPr>
          </w:p>
        </w:tc>
      </w:tr>
      <w:tr>
        <w:tblPrEx>
          <w:tblLayout w:type="fixed"/>
          <w:tblCellMar>
            <w:top w:w="0" w:type="dxa"/>
            <w:left w:w="170" w:type="dxa"/>
            <w:bottom w:w="0" w:type="dxa"/>
            <w:right w:w="170" w:type="dxa"/>
          </w:tblCellMar>
        </w:tblPrEx>
        <w:trPr>
          <w:trHeight w:val="389" w:hRule="atLeast"/>
        </w:trPr>
        <w:tc>
          <w:tcPr>
            <w:tcW w:w="344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8"/>
                <w:szCs w:val="18"/>
              </w:rPr>
            </w:pPr>
            <w:r>
              <w:rPr>
                <w:rFonts w:cs="宋体"/>
                <w:b/>
                <w:bCs/>
                <w:color w:val="000000"/>
                <w:sz w:val="18"/>
                <w:szCs w:val="18"/>
              </w:rPr>
              <w:t>四、差旅费</w:t>
            </w:r>
          </w:p>
        </w:tc>
        <w:tc>
          <w:tcPr>
            <w:tcW w:w="25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szCs w:val="18"/>
                <w:u w:color="auto"/>
              </w:rPr>
              <w:t xml:space="preserve"> </w:t>
            </w:r>
          </w:p>
        </w:tc>
        <w:tc>
          <w:tcPr>
            <w:tcW w:w="41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8"/>
                <w:szCs w:val="18"/>
              </w:rPr>
            </w:pPr>
          </w:p>
        </w:tc>
        <w:tc>
          <w:tcPr>
            <w:tcW w:w="2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8"/>
                <w:szCs w:val="18"/>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074CA"/>
    <w:rsid w:val="00DD0539"/>
    <w:rsid w:val="00E07662"/>
    <w:rsid w:val="00E368E9"/>
    <w:rsid w:val="00EE1E33"/>
    <w:rsid w:val="00F73F90"/>
    <w:rsid w:val="00FB4B3B"/>
    <w:rsid w:val="01474EBF"/>
    <w:rsid w:val="017655AC"/>
    <w:rsid w:val="01F3521E"/>
    <w:rsid w:val="036E2DA9"/>
    <w:rsid w:val="03B87EA0"/>
    <w:rsid w:val="03CA539D"/>
    <w:rsid w:val="03E3214F"/>
    <w:rsid w:val="044C50BA"/>
    <w:rsid w:val="049E3BEA"/>
    <w:rsid w:val="04DE21DE"/>
    <w:rsid w:val="05583007"/>
    <w:rsid w:val="05BC6D49"/>
    <w:rsid w:val="05D918A3"/>
    <w:rsid w:val="06194FF1"/>
    <w:rsid w:val="06A2550B"/>
    <w:rsid w:val="06AF17D2"/>
    <w:rsid w:val="06F80EE2"/>
    <w:rsid w:val="07001CCA"/>
    <w:rsid w:val="071A149F"/>
    <w:rsid w:val="075678DB"/>
    <w:rsid w:val="079D7CC7"/>
    <w:rsid w:val="08051BCA"/>
    <w:rsid w:val="086C12F4"/>
    <w:rsid w:val="08705944"/>
    <w:rsid w:val="08847BFB"/>
    <w:rsid w:val="08BA052C"/>
    <w:rsid w:val="08DB07BA"/>
    <w:rsid w:val="0969353F"/>
    <w:rsid w:val="098305D0"/>
    <w:rsid w:val="09B1218B"/>
    <w:rsid w:val="0A2D3212"/>
    <w:rsid w:val="0A3317EA"/>
    <w:rsid w:val="0A5C4B69"/>
    <w:rsid w:val="0A86124A"/>
    <w:rsid w:val="0A8F1AA8"/>
    <w:rsid w:val="0AAE262A"/>
    <w:rsid w:val="0AB54CC0"/>
    <w:rsid w:val="0B9335CE"/>
    <w:rsid w:val="0BE94CE2"/>
    <w:rsid w:val="0BF2311A"/>
    <w:rsid w:val="0C7927C4"/>
    <w:rsid w:val="0C9B098C"/>
    <w:rsid w:val="0D2321FE"/>
    <w:rsid w:val="0D673E11"/>
    <w:rsid w:val="0DDA54E4"/>
    <w:rsid w:val="0E3A5F83"/>
    <w:rsid w:val="0F5660FF"/>
    <w:rsid w:val="0F836721"/>
    <w:rsid w:val="0FA25D96"/>
    <w:rsid w:val="0FBD3C60"/>
    <w:rsid w:val="0FE95A7B"/>
    <w:rsid w:val="107B59E5"/>
    <w:rsid w:val="10EC0126"/>
    <w:rsid w:val="10F70B9A"/>
    <w:rsid w:val="111445C7"/>
    <w:rsid w:val="112C684D"/>
    <w:rsid w:val="114278C6"/>
    <w:rsid w:val="1158083A"/>
    <w:rsid w:val="11643A4B"/>
    <w:rsid w:val="11B36D85"/>
    <w:rsid w:val="11ED0F98"/>
    <w:rsid w:val="11F03528"/>
    <w:rsid w:val="12C921C4"/>
    <w:rsid w:val="13871C70"/>
    <w:rsid w:val="13A71CB4"/>
    <w:rsid w:val="13AF1D43"/>
    <w:rsid w:val="13CE1647"/>
    <w:rsid w:val="13FD55AB"/>
    <w:rsid w:val="14200702"/>
    <w:rsid w:val="14370EA1"/>
    <w:rsid w:val="145D6F41"/>
    <w:rsid w:val="16113A6D"/>
    <w:rsid w:val="163A6CEE"/>
    <w:rsid w:val="173708E3"/>
    <w:rsid w:val="17C374FC"/>
    <w:rsid w:val="182E4AB6"/>
    <w:rsid w:val="189079DC"/>
    <w:rsid w:val="189B0D0B"/>
    <w:rsid w:val="18B43F7C"/>
    <w:rsid w:val="191C433B"/>
    <w:rsid w:val="194A1770"/>
    <w:rsid w:val="19B906A4"/>
    <w:rsid w:val="1A4F2888"/>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1FE848BB"/>
    <w:rsid w:val="20642787"/>
    <w:rsid w:val="21556F04"/>
    <w:rsid w:val="22403BD3"/>
    <w:rsid w:val="229846C6"/>
    <w:rsid w:val="235417B6"/>
    <w:rsid w:val="23A37941"/>
    <w:rsid w:val="24B92327"/>
    <w:rsid w:val="24C14514"/>
    <w:rsid w:val="2533755C"/>
    <w:rsid w:val="25791755"/>
    <w:rsid w:val="25AF331D"/>
    <w:rsid w:val="26396DF4"/>
    <w:rsid w:val="266D513B"/>
    <w:rsid w:val="27167136"/>
    <w:rsid w:val="271B442C"/>
    <w:rsid w:val="27B23302"/>
    <w:rsid w:val="286839C1"/>
    <w:rsid w:val="28B76ECA"/>
    <w:rsid w:val="290B373F"/>
    <w:rsid w:val="29310A5F"/>
    <w:rsid w:val="29C37A35"/>
    <w:rsid w:val="2A076083"/>
    <w:rsid w:val="2A73162E"/>
    <w:rsid w:val="2B167953"/>
    <w:rsid w:val="2B200583"/>
    <w:rsid w:val="2B8209DE"/>
    <w:rsid w:val="2B821C91"/>
    <w:rsid w:val="2BF81A22"/>
    <w:rsid w:val="2C636760"/>
    <w:rsid w:val="2C6762A3"/>
    <w:rsid w:val="2C7E27DB"/>
    <w:rsid w:val="2D012607"/>
    <w:rsid w:val="2DF41D09"/>
    <w:rsid w:val="2FCA4B37"/>
    <w:rsid w:val="2FE029D7"/>
    <w:rsid w:val="2FF06E00"/>
    <w:rsid w:val="304234DA"/>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5D72EB2"/>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C86541"/>
    <w:rsid w:val="3ADD7F09"/>
    <w:rsid w:val="3B1705E5"/>
    <w:rsid w:val="3B18334B"/>
    <w:rsid w:val="3B36794F"/>
    <w:rsid w:val="3B6F6EE0"/>
    <w:rsid w:val="3C566AD6"/>
    <w:rsid w:val="3C594871"/>
    <w:rsid w:val="3C663DEB"/>
    <w:rsid w:val="3C6A5B02"/>
    <w:rsid w:val="3C6E403E"/>
    <w:rsid w:val="3D2757A1"/>
    <w:rsid w:val="3D3D4FC4"/>
    <w:rsid w:val="3DDF3AB1"/>
    <w:rsid w:val="3E1D0952"/>
    <w:rsid w:val="3E42660A"/>
    <w:rsid w:val="3E7555B1"/>
    <w:rsid w:val="3E787ED9"/>
    <w:rsid w:val="3ED50CA5"/>
    <w:rsid w:val="3F032E93"/>
    <w:rsid w:val="3F0527E5"/>
    <w:rsid w:val="3F444EEA"/>
    <w:rsid w:val="3F4C52C6"/>
    <w:rsid w:val="3F694D83"/>
    <w:rsid w:val="3F885DCC"/>
    <w:rsid w:val="3FCD675E"/>
    <w:rsid w:val="4004000C"/>
    <w:rsid w:val="40BD5482"/>
    <w:rsid w:val="411B6CE5"/>
    <w:rsid w:val="412070D7"/>
    <w:rsid w:val="41270465"/>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484955"/>
    <w:rsid w:val="488F422B"/>
    <w:rsid w:val="48E36915"/>
    <w:rsid w:val="48EB6572"/>
    <w:rsid w:val="495C4A24"/>
    <w:rsid w:val="497135DF"/>
    <w:rsid w:val="4A263DF2"/>
    <w:rsid w:val="4A2F278B"/>
    <w:rsid w:val="4A6F6675"/>
    <w:rsid w:val="4B135857"/>
    <w:rsid w:val="4B296724"/>
    <w:rsid w:val="4B7307C5"/>
    <w:rsid w:val="4B7951CB"/>
    <w:rsid w:val="4B7C315C"/>
    <w:rsid w:val="4C9316A8"/>
    <w:rsid w:val="4D1F53CA"/>
    <w:rsid w:val="4D4D597D"/>
    <w:rsid w:val="4DAC4ACA"/>
    <w:rsid w:val="4DBE01D2"/>
    <w:rsid w:val="4ED428AF"/>
    <w:rsid w:val="4F0C6BA3"/>
    <w:rsid w:val="4F186D58"/>
    <w:rsid w:val="50F06B6E"/>
    <w:rsid w:val="51A57185"/>
    <w:rsid w:val="51D21804"/>
    <w:rsid w:val="52234D33"/>
    <w:rsid w:val="522F6E0C"/>
    <w:rsid w:val="52463BA1"/>
    <w:rsid w:val="52F163D4"/>
    <w:rsid w:val="531A2DB4"/>
    <w:rsid w:val="53C0244D"/>
    <w:rsid w:val="53DD4D4E"/>
    <w:rsid w:val="53E578CE"/>
    <w:rsid w:val="541330F0"/>
    <w:rsid w:val="54272666"/>
    <w:rsid w:val="543B029D"/>
    <w:rsid w:val="54861779"/>
    <w:rsid w:val="551E5284"/>
    <w:rsid w:val="552256E1"/>
    <w:rsid w:val="554E5773"/>
    <w:rsid w:val="555829E0"/>
    <w:rsid w:val="555A3CBC"/>
    <w:rsid w:val="5582012B"/>
    <w:rsid w:val="558E4E05"/>
    <w:rsid w:val="55BE2E85"/>
    <w:rsid w:val="56530F5D"/>
    <w:rsid w:val="56547437"/>
    <w:rsid w:val="566C6BF9"/>
    <w:rsid w:val="567700D3"/>
    <w:rsid w:val="569E5A73"/>
    <w:rsid w:val="56FF7E9E"/>
    <w:rsid w:val="578867FC"/>
    <w:rsid w:val="5842572D"/>
    <w:rsid w:val="599825F2"/>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18C11A0"/>
    <w:rsid w:val="61C0143C"/>
    <w:rsid w:val="62944DD7"/>
    <w:rsid w:val="6319381F"/>
    <w:rsid w:val="63BF7C32"/>
    <w:rsid w:val="63C25DC5"/>
    <w:rsid w:val="63C62057"/>
    <w:rsid w:val="64571EF5"/>
    <w:rsid w:val="64FB113D"/>
    <w:rsid w:val="656152C6"/>
    <w:rsid w:val="6587477F"/>
    <w:rsid w:val="658C3A08"/>
    <w:rsid w:val="65C031CA"/>
    <w:rsid w:val="65CE6852"/>
    <w:rsid w:val="66267C04"/>
    <w:rsid w:val="663F505A"/>
    <w:rsid w:val="66A30CDB"/>
    <w:rsid w:val="66AF5D7C"/>
    <w:rsid w:val="66EE5541"/>
    <w:rsid w:val="67924660"/>
    <w:rsid w:val="68407834"/>
    <w:rsid w:val="6883293E"/>
    <w:rsid w:val="688412AD"/>
    <w:rsid w:val="68E02B24"/>
    <w:rsid w:val="68EB1B71"/>
    <w:rsid w:val="696C0310"/>
    <w:rsid w:val="6A425977"/>
    <w:rsid w:val="6A6C7940"/>
    <w:rsid w:val="6A9F1565"/>
    <w:rsid w:val="6AAD2300"/>
    <w:rsid w:val="6B263CCE"/>
    <w:rsid w:val="6B474EF5"/>
    <w:rsid w:val="6C0A5AC5"/>
    <w:rsid w:val="6C4D60B4"/>
    <w:rsid w:val="6C560CAE"/>
    <w:rsid w:val="6C576495"/>
    <w:rsid w:val="6D903FF5"/>
    <w:rsid w:val="6DA955B8"/>
    <w:rsid w:val="6DE346AB"/>
    <w:rsid w:val="6DE5391A"/>
    <w:rsid w:val="6EC46E16"/>
    <w:rsid w:val="6EFB5269"/>
    <w:rsid w:val="6EFD1324"/>
    <w:rsid w:val="6F5A53AC"/>
    <w:rsid w:val="6FAC003D"/>
    <w:rsid w:val="6FD809F9"/>
    <w:rsid w:val="6FD926BF"/>
    <w:rsid w:val="6FE55E12"/>
    <w:rsid w:val="6FFB2E76"/>
    <w:rsid w:val="7027728A"/>
    <w:rsid w:val="708F6F7F"/>
    <w:rsid w:val="70D94BD3"/>
    <w:rsid w:val="71574775"/>
    <w:rsid w:val="71C34D91"/>
    <w:rsid w:val="72DB435C"/>
    <w:rsid w:val="72E2613A"/>
    <w:rsid w:val="72F771F4"/>
    <w:rsid w:val="73934AD2"/>
    <w:rsid w:val="74D742A2"/>
    <w:rsid w:val="750837F0"/>
    <w:rsid w:val="754758CF"/>
    <w:rsid w:val="75595ECD"/>
    <w:rsid w:val="764F62AB"/>
    <w:rsid w:val="765C45EC"/>
    <w:rsid w:val="768A7619"/>
    <w:rsid w:val="76944E7B"/>
    <w:rsid w:val="771447C5"/>
    <w:rsid w:val="772E1EBA"/>
    <w:rsid w:val="781926BC"/>
    <w:rsid w:val="796D60A4"/>
    <w:rsid w:val="797A664A"/>
    <w:rsid w:val="797D7F1B"/>
    <w:rsid w:val="79A031D5"/>
    <w:rsid w:val="79B47FDF"/>
    <w:rsid w:val="79E569A9"/>
    <w:rsid w:val="7A1525F7"/>
    <w:rsid w:val="7A825CAF"/>
    <w:rsid w:val="7ACC454E"/>
    <w:rsid w:val="7B420052"/>
    <w:rsid w:val="7B9075CA"/>
    <w:rsid w:val="7BD06A28"/>
    <w:rsid w:val="7C3A7C0B"/>
    <w:rsid w:val="7C5248E4"/>
    <w:rsid w:val="7C566698"/>
    <w:rsid w:val="7C5866A3"/>
    <w:rsid w:val="7D7406BB"/>
    <w:rsid w:val="7DC50CF4"/>
    <w:rsid w:val="7DE94331"/>
    <w:rsid w:val="7F2F3A66"/>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4972</Words>
  <Characters>5576</Characters>
  <Lines>186</Lines>
  <Paragraphs>52</Paragraphs>
  <TotalTime>0</TotalTime>
  <ScaleCrop>false</ScaleCrop>
  <LinksUpToDate>false</LinksUpToDate>
  <CharactersWithSpaces>5627</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2025-10-14T08:26:57Z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eyJoZGlkIjoiMWIxMTM2YWJmZjc2Yzk5NjE1ZTA4ZDY5ZjgyNTc2ODEiLCJ1c2VySWQiOiIxMDI3MjQxNzI2In0=</vt:lpwstr>
  </property>
</Properties>
</file>